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d9leh5vmxw1u" w:id="0"/>
      <w:bookmarkEnd w:id="0"/>
      <w:r w:rsidDel="00000000" w:rsidR="00000000" w:rsidRPr="00000000">
        <w:rPr>
          <w:rFonts w:ascii="Times New Roman" w:cs="Times New Roman" w:eastAsia="Times New Roman" w:hAnsi="Times New Roman"/>
          <w:b/>
          <w:bCs w:val="1"/>
          <w:rtl w:val="0"/>
        </w:rPr>
        <w:t xml:space="preserve">Техническое задание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проведение нагрузочного тестирования</w:t>
        <w:br w:type="textWrapping"/>
        <w:t xml:space="preserve"> информационной системы «ДБО Hamkorbank»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vtrmy3yyjmpk" w:id="1"/>
      <w:bookmarkEnd w:id="1"/>
      <w:r w:rsidDel="00000000" w:rsidR="00000000" w:rsidRPr="00000000">
        <w:rPr>
          <w:rFonts w:ascii="Times New Roman" w:cs="Times New Roman" w:eastAsia="Times New Roman" w:hAnsi="Times New Roman"/>
          <w:b/>
          <w:bCs w:val="1"/>
          <w:sz w:val="28"/>
          <w:szCs w:val="28"/>
          <w:rtl w:val="0"/>
        </w:rPr>
        <w:t xml:space="preserve">1. Общие сведения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Заказчик: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АКБ «Hamkorbank»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Основание: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внутренние работы по обеспечению производительности и стабильности ИС ДБО.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>
        <w:rPr>
          <w:b/>
        </w:rPr>
        <w:t>Порядок сдачи результатов:</w:t>
      </w:r>
      <w:r>
        <w:t xml:space="preserve"> в соответствии с разделом 11 настоящего Технического задания.</w:t>
      </w:r>
    </w:p>
    <w:p w:rsidR="00000000" w:rsidDel="00000000" w:rsidP="00000000" w:rsidRDefault="00000000" w:rsidRPr="00000000" w14:paraId="00000008">
      <w:pPr>
        <w:spacing w:after="240" w:befor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Сроки: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предельный срок выполнения работ — не более 4 (четырёх) календарных месяцев с даты начала работ. Конкретную длительность, состав команды в разрезе грейдов и трудоёмкость в человеко-часах участник определяет самостоятельно в пределах, установленных п.1.2 настоящего Технического задания, и указывает в расчёте стоимости.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bookmarkStart w:colFirst="0" w:colLast="0" w:name="_tokyf2k761mp" w:id="2"/>
      <w:bookmarkEnd w:id="2"/>
      <w:r w:rsidDel="00000000" w:rsidR="00000000" w:rsidRPr="00000000">
        <w:rPr>
          <w:rFonts w:ascii="Times New Roman" w:cs="Times New Roman" w:eastAsia="Times New Roman" w:hAnsi="Times New Roman"/>
          <w:b/>
          <w:bCs w:val="1"/>
          <w:color w:val="000000"/>
          <w:sz w:val="22"/>
          <w:szCs w:val="22"/>
          <w:rtl w:val="0"/>
        </w:rPr>
        <w:t xml:space="preserve">1.1. Статус настоящего Технического задания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Настоящее Техническое задание является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оценочным заданием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Оно используется исключительно для получения конкурсного предложения участника и его последующей оценки как одного из критериев выбора поставщика. Заказчик не планирует реализацию настоящего Технического задания в рамках договора. Фактическое выполнение работ по нагрузочному тестированию будет осуществляться на основании отдельных запросов Заказчика по конкретным продуктам в рамках условий рамочного договора.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Приведённые в пунктах 1.2 и 1.3 условия являются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расчётными допущениями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обязательными для применения всеми участниками при формировании стоимости. Они не создают обязательств ни для Заказчика, ни для участника.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Приведённые в настоящем Техническом задании характеристики тестовой среды, показатели профиля нагрузки, интенсивности операций, перечень и параметры заглушек, а также иные количественные данные являются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условными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сформированы исключительно для целей настоящего оценочного задания. Они не отражают фактическую конфигурацию инфраструктуры и фактическую статистику эксплуатации информационных систем Заказчика. Все участники выполняют расчёт стоимости на основании одних и тех же условных данных, что обеспечивает сопоставимость конкурсных предложений.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bookmarkStart w:colFirst="0" w:colLast="0" w:name="_h9dn2j22xeif" w:id="3"/>
      <w:bookmarkEnd w:id="3"/>
      <w:r w:rsidDel="00000000" w:rsidR="00000000" w:rsidRPr="00000000">
        <w:rPr>
          <w:rFonts w:ascii="Times New Roman" w:cs="Times New Roman" w:eastAsia="Times New Roman" w:hAnsi="Times New Roman"/>
          <w:b/>
          <w:bCs w:val="1"/>
          <w:color w:val="000000"/>
          <w:sz w:val="22"/>
          <w:szCs w:val="22"/>
          <w:rtl w:val="0"/>
        </w:rPr>
        <w:t xml:space="preserve">1.2. Допущение о полноте объёма работ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расчёте стоимости участник исходит из того, что весь объём работ обеспечивается силами участника, включая: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разработку методики НТ, профиля нагрузки и сценариев нагрузочного тестирования;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разработку, развёртывание, настройку и поддержку в течение всего периода работ заглушек внешних систем, предусмотренных разделом 9, включая реализацию заданных в нём искусственных задержек отклика, логирование вызовов и формирование стандартных ответов;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разработку и отладку нагрузочных скриптов, их настройку на нагрузочных генераторах, предоставляемых Заказчиком;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адаптацию дашбордов мониторинга, предоставляемых Заказчиком, под сценарии нагрузочного тестирования;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проведение всех прогонов, анализ результатов, локализацию «узких мест» и подготовку итогового отчёта.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t>В объём работ включается не более 2 (двух) повторных полных циклов прогонов после устранения выявленных дефектов Заказчиком.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t>Затраты на приобретение и продление лицензий инструментальных средств нагрузочного тестирования в стоимость предложения не включаются.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Расчёт выполняется исходя из выполнения работ командой,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не превышающей по составу и грейдам состав, указанный в Таблице 1 Приложения 2 к Конкурсной документации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(до 1 Middle QA Load Testing, до 1 Senior QA Load Testing, до 1 Middle DevOps, до 1 Senior DevOps, Project Manager — до 30% рабочего времени). Участник вправе предложить меньший состав команды.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bookmarkStart w:colFirst="0" w:colLast="0" w:name="_jd9l1cmb41w3" w:id="4"/>
      <w:bookmarkEnd w:id="4"/>
      <w:r w:rsidDel="00000000" w:rsidR="00000000" w:rsidRPr="00000000">
        <w:rPr>
          <w:rFonts w:ascii="Times New Roman" w:cs="Times New Roman" w:eastAsia="Times New Roman" w:hAnsi="Times New Roman"/>
          <w:b/>
          <w:bCs w:val="1"/>
          <w:color w:val="000000"/>
          <w:sz w:val="22"/>
          <w:szCs w:val="22"/>
          <w:rtl w:val="0"/>
        </w:rPr>
        <w:t xml:space="preserve">1.3. Допущения об обеспечении со стороны Заказчика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расчёте стоимости участник исходит из того, что Заказчиком предоставляются: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тестовый стенд в конфигурации раздела 4 настоящего Технического задания, выделенный исключительно для нагрузочного тестирования и доступный круглосуточно на всём периоде работ;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b/>
        </w:rPr>
        <w:t>нагрузочные генераторы</w:t>
      </w:r>
      <w:r>
        <w:t xml:space="preserve"> в конфигурации, заявленной участником в составе расчёта стоимости, размещаемые в тестовом контуре Банка;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спецификации (контракты) API заглушаемых внешних систем, перечисленных в разделе 9, в объёме, необходимом для реализации заглушек;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инфраструктуру тестового контура для размещения заглушек;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базу данных и тестовые данные (учётные записи, карты, счета) в соответствии с разделом 8;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доступы, необходимые для выполнения работ (VPN, учётные записи, доступ к средствам мониторинга и логам);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дашборды мониторинга на инструментах, указанных в разделе 10;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консультации технических специалистов Заказчика по компонентам системы;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исправление дефектов информационной системы и базы данных, выявленных в ходе нагрузочного тестирования, силами Заказчика; участник обеспечивает локализацию дефектов и проведение повторных прогонов.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Заявленная участником конфигурация нагрузочных генераторов должна быть обоснована исходя из интенсивностей раздела 6 и приведена в расчёте стоимости с указанием методики расчёта требуемой мощности.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Иные допущения, существенные для расчёта, участник вправе указать отдельным перечнем в составе расчёта стоимости. Допущения, противоречащие настоящему Техническому заданию, при оценке не учитываются.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s203yyxujt5k" w:id="5"/>
      <w:bookmarkEnd w:id="5"/>
      <w:r w:rsidDel="00000000" w:rsidR="00000000" w:rsidRPr="00000000">
        <w:rPr>
          <w:rFonts w:ascii="Times New Roman" w:cs="Times New Roman" w:eastAsia="Times New Roman" w:hAnsi="Times New Roman"/>
          <w:b/>
          <w:bCs w:val="1"/>
          <w:sz w:val="28"/>
          <w:szCs w:val="28"/>
          <w:rtl w:val="0"/>
        </w:rPr>
        <w:t xml:space="preserve">2. Цели и задачи нагрузочного тестирования</w:t>
      </w:r>
    </w:p>
    <w:p w:rsidR="00000000" w:rsidDel="00000000" w:rsidP="00000000" w:rsidRDefault="00000000" w:rsidRPr="00000000" w14:paraId="0000001A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Основными целями проведения НТ являются: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разработка СНТ (сценариев нагрузочного тестирования) для ИС ДБО Hamkorbank;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определение фактического максимума производительности ИС и сопоставление его с целевым уровнем, пятикратно превышающим интенсивности, указанные в разделе 6 настоящего Технического задания;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проверка стабильности ИС на уровне типичной нагрузки;</w:t>
        <w:br w:type="textWrapping"/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оценка стрессоустойчивости ИС при пиковых нагрузках.</w:t>
        <w:br w:type="textWrapping"/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5mip8n53buw" w:id="6"/>
      <w:bookmarkEnd w:id="6"/>
      <w:r w:rsidDel="00000000" w:rsidR="00000000" w:rsidRPr="00000000">
        <w:rPr>
          <w:rFonts w:ascii="Times New Roman" w:cs="Times New Roman" w:eastAsia="Times New Roman" w:hAnsi="Times New Roman"/>
          <w:b/>
          <w:bCs w:val="1"/>
          <w:sz w:val="28"/>
          <w:szCs w:val="28"/>
          <w:rtl w:val="0"/>
        </w:rPr>
        <w:t xml:space="preserve">3. Объект тестирования</w:t>
      </w:r>
    </w:p>
    <w:p w:rsidR="00000000" w:rsidDel="00000000" w:rsidP="00000000" w:rsidRDefault="00000000" w:rsidRPr="00000000" w14:paraId="00000022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Объектом тестирования является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мобильное ДБО физических лиц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обеспечивающее:</w:t>
      </w:r>
    </w:p>
    <w:p w:rsidR="00000000" w:rsidDel="00000000" w:rsidP="00000000" w:rsidRDefault="00000000" w:rsidRPr="00000000" w14:paraId="00000023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Информационные функции:</w:t>
      </w:r>
    </w:p>
    <w:p w:rsidR="00000000" w:rsidDel="00000000" w:rsidP="00000000" w:rsidRDefault="00000000" w:rsidRPr="00000000" w14:paraId="00000024">
      <w:pPr>
        <w:numPr>
          <w:ilvl w:val="0"/>
          <w:numId w:val="12"/>
        </w:numPr>
        <w:spacing w:after="24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депозиты, кредиты, карты, курсы валют, данные клиента.</w:t>
        <w:br w:type="textWrapping"/>
      </w:r>
    </w:p>
    <w:p w:rsidR="00000000" w:rsidDel="00000000" w:rsidP="00000000" w:rsidRDefault="00000000" w:rsidRPr="00000000" w14:paraId="00000025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Операционные функции:</w:t>
      </w:r>
    </w:p>
    <w:p w:rsidR="00000000" w:rsidDel="00000000" w:rsidP="00000000" w:rsidRDefault="00000000" w:rsidRPr="00000000" w14:paraId="00000026">
      <w:pPr>
        <w:numPr>
          <w:ilvl w:val="0"/>
          <w:numId w:val="9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регистрация и авторизация; (9 сервисов)</w:t>
        <w:br w:type="textWrapping"/>
      </w:r>
    </w:p>
    <w:p w:rsidR="00000000" w:rsidDel="00000000" w:rsidP="00000000" w:rsidRDefault="00000000" w:rsidRPr="00000000" w14:paraId="00000027">
      <w:pPr>
        <w:numPr>
          <w:ilvl w:val="0"/>
          <w:numId w:val="9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главный экран (витрина, курсы, балансы, список карт, кредиты); (9 сервисов)</w:t>
        <w:br w:type="textWrapping"/>
      </w:r>
    </w:p>
    <w:p w:rsidR="00000000" w:rsidDel="00000000" w:rsidP="00000000" w:rsidRDefault="00000000" w:rsidRPr="00000000" w14:paraId="00000028">
      <w:pPr>
        <w:numPr>
          <w:ilvl w:val="0"/>
          <w:numId w:val="9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переводы P2P (между своими картами, по карте, по телефону); (6 сервисов)</w:t>
        <w:br w:type="textWrapping"/>
      </w:r>
    </w:p>
    <w:p w:rsidR="00000000" w:rsidDel="00000000" w:rsidP="00000000" w:rsidRDefault="00000000" w:rsidRPr="00000000" w14:paraId="00000029">
      <w:pPr>
        <w:numPr>
          <w:ilvl w:val="0"/>
          <w:numId w:val="9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конвертация валют; (4 сервиса)</w:t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9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онлайн-оплата; (5 сервисов)</w:t>
        <w:br w:type="textWrapping"/>
      </w:r>
    </w:p>
    <w:p w:rsidR="00000000" w:rsidDel="00000000" w:rsidP="00000000" w:rsidRDefault="00000000" w:rsidRPr="00000000" w14:paraId="0000002B">
      <w:pPr>
        <w:numPr>
          <w:ilvl w:val="0"/>
          <w:numId w:val="9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погашение кредитов; (2 сервиса)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9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трансграничные переводы. (3 сервиса)</w:t>
        <w:br w:type="textWrapping"/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9lo7cwh0k7z7" w:id="7"/>
      <w:bookmarkEnd w:id="7"/>
      <w:r w:rsidDel="00000000" w:rsidR="00000000" w:rsidRPr="00000000">
        <w:rPr>
          <w:rFonts w:ascii="Times New Roman" w:cs="Times New Roman" w:eastAsia="Times New Roman" w:hAnsi="Times New Roman"/>
          <w:b/>
          <w:bCs w:val="1"/>
          <w:sz w:val="28"/>
          <w:szCs w:val="28"/>
          <w:rtl w:val="0"/>
        </w:rPr>
        <w:t xml:space="preserve">4. Тестовая среда (условная)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bookmarkStart w:colFirst="0" w:colLast="0" w:name="_ckxcqemmyxfy" w:id="8"/>
      <w:bookmarkEnd w:id="8"/>
      <w:r w:rsidDel="00000000" w:rsidR="00000000" w:rsidRPr="00000000">
        <w:rPr>
          <w:rFonts w:ascii="Times New Roman" w:cs="Times New Roman" w:eastAsia="Times New Roman" w:hAnsi="Times New Roman"/>
          <w:b/>
          <w:bCs w:val="1"/>
          <w:color w:val="000000"/>
          <w:sz w:val="20"/>
          <w:szCs w:val="20"/>
          <w:rtl w:val="0"/>
        </w:rPr>
        <w:t xml:space="preserve">4.1. Характеристики стенда НТ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b/>
        </w:rPr>
        <w:t>PostgreSQL Cluster:</w:t>
      </w:r>
      <w:r>
        <w:t xml:space="preserve"> 3 узла (Patroni, PgBouncer, ETCD), 8 CPU / 32 GB RAM / 150 GB SSD.</w:t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b/>
        </w:rPr>
        <w:t>Kubernetes Cluster:</w:t>
      </w:r>
      <w:r/>
    </w:p>
    <w:p w:rsidR="00000000" w:rsidDel="00000000" w:rsidP="00000000" w:rsidRDefault="00000000" w:rsidRPr="00000000" w14:paraId="00000033">
      <w:pPr>
        <w:numPr>
          <w:ilvl w:val="1"/>
          <w:numId w:val="8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Master-ноды: 3 шт., 4 CPU / 4–8 GB RAM, ~50 GB SSD.</w:t>
      </w:r>
    </w:p>
    <w:p w:rsidR="00000000" w:rsidDel="00000000" w:rsidP="00000000" w:rsidRDefault="00000000" w:rsidRPr="00000000" w14:paraId="00000034">
      <w:pPr>
        <w:numPr>
          <w:ilvl w:val="1"/>
          <w:numId w:val="8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Worker-ноды: 3 шт., 8 CPU / 16 GB RAM / 100 GB SSD.</w:t>
      </w:r>
    </w:p>
    <w:p w:rsidR="00000000" w:rsidDel="00000000" w:rsidP="00000000" w:rsidRDefault="00000000" w:rsidRPr="00000000" w14:paraId="00000035">
      <w:pPr>
        <w:numPr>
          <w:ilvl w:val="1"/>
          <w:numId w:val="8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Ingress: 1 узел, 4 CPU / 8 GB RAM / 50 GB SSD.</w:t>
      </w:r>
    </w:p>
    <w:p w:rsidR="00000000" w:rsidDel="00000000" w:rsidP="00000000" w:rsidRDefault="00000000" w:rsidRPr="00000000" w14:paraId="00000036">
      <w:pPr>
        <w:numPr>
          <w:ilvl w:val="0"/>
          <w:numId w:val="8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b/>
        </w:rPr>
        <w:t>RabbitMQ:</w:t>
      </w:r>
      <w:r>
        <w:t xml:space="preserve"> 3 узла, 4 CPU / 8 GB RAM / 50–100 GB SSD.</w:t>
      </w:r>
    </w:p>
    <w:p w:rsidR="00000000" w:rsidDel="00000000" w:rsidP="00000000" w:rsidRDefault="00000000" w:rsidRPr="00000000" w14:paraId="00000037">
      <w:pPr>
        <w:numPr>
          <w:ilvl w:val="0"/>
          <w:numId w:val="8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b/>
        </w:rPr>
        <w:t>WSO2AM (API Gateway):</w:t>
      </w:r>
      <w:r>
        <w:t xml:space="preserve"> 3 узла, 8 CPU / 16 GB RAM / 100 GB SSD.</w:t>
      </w:r>
    </w:p>
    <w:p w:rsidR="00000000" w:rsidDel="00000000" w:rsidP="00000000" w:rsidRDefault="00000000" w:rsidRPr="00000000" w14:paraId="00000039">
      <w:pPr>
        <w:numPr>
          <w:ilvl w:val="0"/>
          <w:numId w:val="8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b/>
        </w:rPr>
        <w:t>VMStora (VictoriaMetrics, метрики):</w:t>
      </w:r>
      <w:r>
        <w:t xml:space="preserve"> 1 узел, 8 CPU / 16 GB RAM / 100 GB SSD.</w:t>
      </w:r>
    </w:p>
    <w:p w:rsidR="00000000" w:rsidDel="00000000" w:rsidP="00000000" w:rsidRDefault="00000000" w:rsidRPr="00000000" w14:paraId="0000003A">
      <w:pPr>
        <w:numPr>
          <w:ilvl w:val="0"/>
          <w:numId w:val="8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ОС: Ubuntu LTS.</w:t>
      </w:r>
    </w:p>
    <w:p w:rsidR="00000000" w:rsidDel="00000000" w:rsidP="00000000" w:rsidRDefault="00000000" w:rsidRPr="00000000" w14:paraId="0000003B">
      <w:pPr>
        <w:numPr>
          <w:ilvl w:val="0"/>
          <w:numId w:val="8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b/>
        </w:rPr>
        <w:t>Нагрузочные генераторы:</w:t>
      </w:r>
      <w:r>
        <w:t xml:space="preserve"> предоставляются Заказчиком в конфигурации, заявленной участником. Требуемые характеристики (количество узлов, CPU, RAM, дисковое пространство, схема запуска) участник определяет самостоятельно исходя из интенсивностей раздела 6 и указывает в составе расчёта стоимости. Вывод метрик прогонов — в InfluxDB. Затраты на инфраструктуру нагрузочных генераторов в стоимость предложения участника не включаются.</w:t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bookmarkStart w:colFirst="0" w:colLast="0" w:name="_c0y27ioo2ozy" w:id="9"/>
      <w:bookmarkEnd w:id="9"/>
      <w:r w:rsidDel="00000000" w:rsidR="00000000" w:rsidRPr="00000000">
        <w:rPr>
          <w:rFonts w:ascii="Times New Roman" w:cs="Times New Roman" w:eastAsia="Times New Roman" w:hAnsi="Times New Roman"/>
          <w:b/>
          <w:bCs w:val="1"/>
          <w:color w:val="000000"/>
          <w:sz w:val="20"/>
          <w:szCs w:val="20"/>
          <w:rtl w:val="0"/>
        </w:rPr>
        <w:t xml:space="preserve">4.2. Соотношение условного стенда и условной продуктивной среды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целей расчёта участник исходит из следующих соотношений между условным стендом НТ и условной продуктивной средой: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Worker-ноды Kubernetes: идентичны условной продуктивной среде.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Ingress-ноды: небольшие отличия по CPU/диску, лимиты производительности идентичные.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PostgreSQL: конфигурация стенда идентична условной продуктивной среде.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Аппаратные CPU: условная продуктивная среда — Intel Xeon Gold 6226R (2.90 ГГц), стенд НТ — Intel Xeon Gold 6342 (2.80 ГГц).</w:t>
      </w:r>
    </w:p>
    <w:p w:rsidR="00000000" w:rsidDel="00000000" w:rsidP="00000000" w:rsidRDefault="00000000" w:rsidRPr="00000000" w14:paraId="0000004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6viywqlya31w" w:id="10"/>
      <w:bookmarkEnd w:id="10"/>
      <w:r w:rsidDel="00000000" w:rsidR="00000000" w:rsidRPr="00000000">
        <w:rPr>
          <w:rFonts w:ascii="Times New Roman" w:cs="Times New Roman" w:eastAsia="Times New Roman" w:hAnsi="Times New Roman"/>
          <w:b/>
          <w:bCs w:val="1"/>
          <w:sz w:val="28"/>
          <w:szCs w:val="28"/>
          <w:rtl w:val="0"/>
        </w:rPr>
        <w:t xml:space="preserve">5. Стратегия тестирования</w:t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bookmarkStart w:colFirst="0" w:colLast="0" w:name="_bhhppvug3n35" w:id="11"/>
      <w:bookmarkEnd w:id="11"/>
      <w:r w:rsidDel="00000000" w:rsidR="00000000" w:rsidRPr="00000000">
        <w:rPr>
          <w:rFonts w:ascii="Times New Roman" w:cs="Times New Roman" w:eastAsia="Times New Roman" w:hAnsi="Times New Roman"/>
          <w:b/>
          <w:bCs w:val="1"/>
          <w:color w:val="000000"/>
          <w:sz w:val="20"/>
          <w:szCs w:val="20"/>
          <w:rtl w:val="0"/>
        </w:rPr>
        <w:t xml:space="preserve">5.1. Поиск максимальной производительности</w:t>
      </w:r>
    </w:p>
    <w:p w:rsidR="00000000" w:rsidDel="00000000" w:rsidP="00000000" w:rsidRDefault="00000000" w:rsidRPr="00000000" w14:paraId="00000048">
      <w:pPr>
        <w:numPr>
          <w:ilvl w:val="0"/>
          <w:numId w:val="15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Пошаговое увеличение нагрузки до предельного уровня.</w:t>
        <w:br w:type="textWrapping"/>
      </w:r>
    </w:p>
    <w:p w:rsidR="00000000" w:rsidDel="00000000" w:rsidP="00000000" w:rsidRDefault="00000000" w:rsidRPr="00000000" w14:paraId="00000049">
      <w:pPr>
        <w:numPr>
          <w:ilvl w:val="0"/>
          <w:numId w:val="15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Условия завершения: превышение SLA по времени отклика (п.6.1) либо превышение допустимой доли ошибок (п.6.1).</w:t>
      </w:r>
    </w:p>
    <w:p w:rsidR="00000000" w:rsidDel="00000000" w:rsidP="00000000" w:rsidRDefault="00000000" w:rsidRPr="00000000" w14:paraId="0000004A">
      <w:pPr>
        <w:numPr>
          <w:ilvl w:val="0"/>
          <w:numId w:val="15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Фиксация L₀ (уровень, когда SLA нарушен) и Lпик (деградация).</w:t>
        <w:br w:type="textWrapping"/>
      </w:r>
    </w:p>
    <w:p w:rsidR="00000000" w:rsidDel="00000000" w:rsidP="00000000" w:rsidRDefault="00000000" w:rsidRPr="00000000" w14:paraId="0000004B">
      <w:pPr>
        <w:numPr>
          <w:ilvl w:val="0"/>
          <w:numId w:val="15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Gungsuh" w:cs="Gungsuh" w:eastAsia="Gungsuh" w:hAnsi="Gungsuh"/>
          <w:sz w:val="24"/>
          <w:szCs w:val="24"/>
          <w:rtl w:val="0"/>
        </w:rPr>
        <w:t xml:space="preserve">Контрольный тест на ступени ниже L₀ ≥ 1 час.</w:t>
        <w:br w:type="textWrapping"/>
      </w:r>
    </w:p>
    <w:p w:rsidR="00000000" w:rsidDel="00000000" w:rsidP="00000000" w:rsidRDefault="00000000" w:rsidRPr="00000000" w14:paraId="0000004C">
      <w:pPr>
        <w:numPr>
          <w:ilvl w:val="0"/>
          <w:numId w:val="15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Результат: Lmax (максимальная нагрузка при SLA).</w:t>
        <w:br w:type="textWrapping"/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bookmarkStart w:colFirst="0" w:colLast="0" w:name="_649klkr6xcng" w:id="12"/>
      <w:bookmarkEnd w:id="12"/>
      <w:r w:rsidDel="00000000" w:rsidR="00000000" w:rsidRPr="00000000">
        <w:rPr>
          <w:rFonts w:ascii="Times New Roman" w:cs="Times New Roman" w:eastAsia="Times New Roman" w:hAnsi="Times New Roman"/>
          <w:b/>
          <w:bCs w:val="1"/>
          <w:color w:val="000000"/>
          <w:sz w:val="20"/>
          <w:szCs w:val="20"/>
          <w:rtl w:val="0"/>
        </w:rPr>
        <w:t xml:space="preserve">5.2. Тест стабильности</w:t>
      </w:r>
    </w:p>
    <w:p w:rsidR="00000000" w:rsidDel="00000000" w:rsidP="00000000" w:rsidRDefault="00000000" w:rsidRPr="00000000" w14:paraId="0000004E">
      <w:pPr>
        <w:numPr>
          <w:ilvl w:val="0"/>
          <w:numId w:val="1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Нагрузка на уровне 80% от Lmax. Если 80% от Lmax оказывается ниже интенсивностей профиля раздела 6, тест проводится на уровне Lmax.</w:t>
      </w:r>
    </w:p>
    <w:p w:rsidR="00000000" w:rsidDel="00000000" w:rsidP="00000000" w:rsidRDefault="00000000" w:rsidRPr="00000000" w14:paraId="0000004F">
      <w:pPr>
        <w:numPr>
          <w:ilvl w:val="0"/>
          <w:numId w:val="18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Gungsuh" w:cs="Gungsuh" w:eastAsia="Gungsuh" w:hAnsi="Gungsuh"/>
          <w:sz w:val="24"/>
          <w:szCs w:val="24"/>
          <w:rtl w:val="0"/>
        </w:rPr>
        <w:t xml:space="preserve">Длительность ≥ 24 ч.</w:t>
        <w:br w:type="textWrapping"/>
      </w:r>
    </w:p>
    <w:p w:rsidR="00000000" w:rsidDel="00000000" w:rsidP="00000000" w:rsidRDefault="00000000" w:rsidRPr="00000000" w14:paraId="00000050">
      <w:pPr>
        <w:numPr>
          <w:ilvl w:val="0"/>
          <w:numId w:val="18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Успех: отсутствие деградации, доля ошибок в пределах, установленных п.6.1, отсутствие утечек памяти.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bookmarkStart w:colFirst="0" w:colLast="0" w:name="_nznpsriqsz8f" w:id="13"/>
      <w:bookmarkEnd w:id="13"/>
      <w:r w:rsidDel="00000000" w:rsidR="00000000" w:rsidRPr="00000000">
        <w:rPr>
          <w:rFonts w:ascii="Times New Roman" w:cs="Times New Roman" w:eastAsia="Times New Roman" w:hAnsi="Times New Roman"/>
          <w:b/>
          <w:bCs w:val="1"/>
          <w:color w:val="000000"/>
          <w:sz w:val="20"/>
          <w:szCs w:val="20"/>
          <w:rtl w:val="0"/>
        </w:rPr>
        <w:t xml:space="preserve">5.3. Тест стрессоустойчивости</w:t>
      </w:r>
    </w:p>
    <w:p w:rsidR="00000000" w:rsidDel="00000000" w:rsidP="00000000" w:rsidRDefault="00000000" w:rsidRPr="00000000" w14:paraId="00000052">
      <w:pPr>
        <w:numPr>
          <w:ilvl w:val="0"/>
          <w:numId w:val="11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Старт на уровне интенсивностей профиля раздела 6.</w:t>
      </w:r>
    </w:p>
    <w:p w:rsidR="00000000" w:rsidDel="00000000" w:rsidP="00000000" w:rsidRDefault="00000000" w:rsidRPr="00000000" w14:paraId="00000053">
      <w:pPr>
        <w:numPr>
          <w:ilvl w:val="0"/>
          <w:numId w:val="11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Всплеск до Lпик на 5 минут.</w:t>
        <w:br w:type="textWrapping"/>
      </w:r>
    </w:p>
    <w:p w:rsidR="00000000" w:rsidDel="00000000" w:rsidP="00000000" w:rsidRDefault="00000000" w:rsidRPr="00000000" w14:paraId="00000054">
      <w:pPr>
        <w:numPr>
          <w:ilvl w:val="0"/>
          <w:numId w:val="11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Возврат на исходный уровень.</w:t>
        <w:br w:type="textWrapping"/>
      </w:r>
    </w:p>
    <w:p w:rsidR="00000000" w:rsidDel="00000000" w:rsidP="00000000" w:rsidRDefault="00000000" w:rsidRPr="00000000" w14:paraId="00000055">
      <w:pPr>
        <w:numPr>
          <w:ilvl w:val="0"/>
          <w:numId w:val="11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Замер времени восстановления системы.</w:t>
        <w:br w:type="textWrapping"/>
      </w:r>
    </w:p>
    <w:p w:rsidR="00000000" w:rsidDel="00000000" w:rsidP="00000000" w:rsidRDefault="00000000" w:rsidRPr="00000000" w14:paraId="00000068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3"/>
        <w:spacing w:after="240" w:befor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>
        <w:rPr>
          <w:b/>
        </w:rPr>
        <w:t>5.4. Критерии успешного завершения</w:t>
      </w:r>
    </w:p>
    <w:p w:rsidR="00000000" w:rsidDel="00000000" w:rsidP="00000000" w:rsidRDefault="00000000" w:rsidRPr="00000000" w14:paraId="0000006A">
      <w:pPr>
        <w:numPr>
          <w:ilvl w:val="0"/>
          <w:numId w:val="5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Выполнение всех тестов.</w:t>
        <w:br w:type="textWrapping"/>
      </w:r>
    </w:p>
    <w:p w:rsidR="00000000" w:rsidDel="00000000" w:rsidP="00000000" w:rsidRDefault="00000000" w:rsidRPr="00000000" w14:paraId="0000006B">
      <w:pPr>
        <w:numPr>
          <w:ilvl w:val="0"/>
          <w:numId w:val="5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Получение полных данных мониторинга.</w:t>
        <w:br w:type="textWrapping"/>
      </w:r>
    </w:p>
    <w:p w:rsidR="00000000" w:rsidDel="00000000" w:rsidP="00000000" w:rsidRDefault="00000000" w:rsidRPr="00000000" w14:paraId="0000006C">
      <w:pPr>
        <w:numPr>
          <w:ilvl w:val="0"/>
          <w:numId w:val="5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SLA, установленные п.6.1, выдержаны.</w:t>
      </w:r>
    </w:p>
    <w:p w:rsidR="00000000" w:rsidDel="00000000" w:rsidP="00000000" w:rsidRDefault="00000000" w:rsidRPr="00000000" w14:paraId="0000006A">
      <w:pPr>
        <w:numPr>
          <w:ilvl w:val="0"/>
          <w:numId w:val="5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Итоговый отчёт сформирован.</w:t>
      </w:r>
    </w:p>
    <w:p w:rsidR="00000000" w:rsidDel="00000000" w:rsidP="00000000" w:rsidRDefault="00000000" w:rsidRPr="00000000" w14:paraId="0000006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8myudo7vz1c7" w:id="16"/>
      <w:bookmarkEnd w:id="16"/>
      <w:r w:rsidDel="00000000" w:rsidR="00000000" w:rsidRPr="00000000">
        <w:rPr>
          <w:rFonts w:ascii="Times New Roman" w:cs="Times New Roman" w:eastAsia="Times New Roman" w:hAnsi="Times New Roman"/>
          <w:b/>
          <w:bCs w:val="1"/>
          <w:sz w:val="28"/>
          <w:szCs w:val="28"/>
          <w:rtl w:val="0"/>
        </w:rPr>
        <w:t xml:space="preserve">6. Профиль нагрузки</w:t>
      </w:r>
    </w:p>
    <w:p w:rsidR="00000000" w:rsidDel="00000000" w:rsidP="00000000" w:rsidRDefault="00000000" w:rsidRPr="00000000" w14:paraId="00000070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Профиль является условным и сформирован для целей настоящего оценочного задания. Участник принимает приведённые интенсивности как заданные, без дополнительного обоснования.</w:t>
      </w:r>
    </w:p>
    <w:p w:rsidR="00000000" w:rsidDel="00000000" w:rsidP="00000000" w:rsidRDefault="00000000" w:rsidRPr="00000000" w14:paraId="00000070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t>Авторизация как отдельная группа операций в профиле не выделяется: сессия пользователя сохраняется, и при открытии приложения загружается главный экран.</w:t>
      </w:r>
    </w:p>
    <w:p w:rsidR="00000000" w:rsidDel="00000000" w:rsidP="00000000" w:rsidRDefault="00000000" w:rsidRPr="00000000" w14:paraId="00000071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Основные группы операций: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Регистрация — 1 800 оп/час.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Главный экран — 30 000 оп/час.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P2P между своими картами — 2 520 оп/час.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Конвертация валют — 420 оп/час.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Онлайн-оплата — 750 оп/час.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Погашение кредита — 70 оп/час.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Трансграничные переводы — 60 оп/час.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bookmarkStart w:colFirst="0" w:colLast="0" w:name="_ckxcqemmyxfy" w:id="8"/>
      <w:bookmarkEnd w:id="8"/>
      <w:r>
        <w:rPr>
          <w:b/>
        </w:rPr>
        <w:t>6.1. Требования к времени отклика (SLA)</w:t>
      </w:r>
    </w:p>
    <w:p w:rsidR="00000000" w:rsidDel="00000000" w:rsidP="00000000" w:rsidRDefault="00000000" w:rsidRPr="00000000" w14:paraId="00000070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t>Приведённые ниже значения SLA являются условными и используются для определения условий завершения тестов (п.5.1), оценки результатов теста стабильности (п.5.2) и критериев успешного завершения (п.5.4). Время отклика измеряется на стороне нагрузочного генератора и включает задержки заглушек, установленные разделом 9. Доля ошибок оценивается на интервале усреднения 5 минут.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2257"/>
        <w:gridCol w:w="2257"/>
        <w:gridCol w:w="2257"/>
        <w:gridCol w:w="2257"/>
      </w:tblGrid>
      <w:tr>
        <w:tc>
          <w:tcPr>
            <w:tcW w:type="dxa" w:w="2257"/>
            <w:shd w:val="clear" w:fill="F2F2F2"/>
          </w:tcPr>
          <w:p>
            <w:r>
              <w:rPr>
                <w:b/>
              </w:rPr>
              <w:t>Группа операций</w:t>
            </w:r>
          </w:p>
        </w:tc>
        <w:tc>
          <w:tcPr>
            <w:tcW w:type="dxa" w:w="2257"/>
            <w:shd w:val="clear" w:fill="F2F2F2"/>
          </w:tcPr>
          <w:p>
            <w:r>
              <w:rPr>
                <w:b/>
              </w:rPr>
              <w:t>Время отклика, 95-й перцентиль</w:t>
            </w:r>
          </w:p>
        </w:tc>
        <w:tc>
          <w:tcPr>
            <w:tcW w:type="dxa" w:w="2257"/>
            <w:shd w:val="clear" w:fill="F2F2F2"/>
          </w:tcPr>
          <w:p>
            <w:r>
              <w:rPr>
                <w:b/>
              </w:rPr>
              <w:t>Время отклика, 99-й перцентиль</w:t>
            </w:r>
          </w:p>
        </w:tc>
        <w:tc>
          <w:tcPr>
            <w:tcW w:type="dxa" w:w="2257"/>
            <w:shd w:val="clear" w:fill="F2F2F2"/>
          </w:tcPr>
          <w:p>
            <w:r>
              <w:rPr>
                <w:b/>
              </w:rPr>
              <w:t>Допустимая доля ошибок</w:t>
            </w:r>
          </w:p>
        </w:tc>
      </w:tr>
      <w:tr>
        <w:tc>
          <w:tcPr>
            <w:tcW w:type="dxa" w:w="2257"/>
          </w:tcPr>
          <w:p>
            <w:r>
              <w:t>Информационные запросы (депозиты, кредиты, карты, курсы валют)</w:t>
            </w:r>
          </w:p>
        </w:tc>
        <w:tc>
          <w:tcPr>
            <w:tcW w:type="dxa" w:w="2257"/>
          </w:tcPr>
          <w:p>
            <w:r>
              <w:t>≤ 1,5 с</w:t>
            </w:r>
          </w:p>
        </w:tc>
        <w:tc>
          <w:tcPr>
            <w:tcW w:type="dxa" w:w="2257"/>
          </w:tcPr>
          <w:p>
            <w:r>
              <w:t>≤ 3,0 с</w:t>
            </w:r>
          </w:p>
        </w:tc>
        <w:tc>
          <w:tcPr>
            <w:tcW w:type="dxa" w:w="2257"/>
          </w:tcPr>
          <w:p>
            <w:r>
              <w:t>≤ 0,5 %</w:t>
            </w:r>
          </w:p>
        </w:tc>
      </w:tr>
      <w:tr>
        <w:tc>
          <w:tcPr>
            <w:tcW w:type="dxa" w:w="2257"/>
          </w:tcPr>
          <w:p>
            <w:r>
              <w:t>Регистрация и авторизация</w:t>
            </w:r>
          </w:p>
        </w:tc>
        <w:tc>
          <w:tcPr>
            <w:tcW w:type="dxa" w:w="2257"/>
          </w:tcPr>
          <w:p>
            <w:r>
              <w:t>≤ 2,0 с</w:t>
            </w:r>
          </w:p>
        </w:tc>
        <w:tc>
          <w:tcPr>
            <w:tcW w:type="dxa" w:w="2257"/>
          </w:tcPr>
          <w:p>
            <w:r>
              <w:t>≤ 4,0 с</w:t>
            </w:r>
          </w:p>
        </w:tc>
        <w:tc>
          <w:tcPr>
            <w:tcW w:type="dxa" w:w="2257"/>
          </w:tcPr>
          <w:p>
            <w:r>
              <w:t>≤ 0,5 %</w:t>
            </w:r>
          </w:p>
        </w:tc>
      </w:tr>
      <w:tr>
        <w:tc>
          <w:tcPr>
            <w:tcW w:type="dxa" w:w="2257"/>
          </w:tcPr>
          <w:p>
            <w:r>
              <w:t>Главный экран</w:t>
            </w:r>
          </w:p>
        </w:tc>
        <w:tc>
          <w:tcPr>
            <w:tcW w:type="dxa" w:w="2257"/>
          </w:tcPr>
          <w:p>
            <w:r>
              <w:t>≤ 2,0 с</w:t>
            </w:r>
          </w:p>
        </w:tc>
        <w:tc>
          <w:tcPr>
            <w:tcW w:type="dxa" w:w="2257"/>
          </w:tcPr>
          <w:p>
            <w:r>
              <w:t>≤ 4,0 с</w:t>
            </w:r>
          </w:p>
        </w:tc>
        <w:tc>
          <w:tcPr>
            <w:tcW w:type="dxa" w:w="2257"/>
          </w:tcPr>
          <w:p>
            <w:r>
              <w:t>≤ 0,5 %</w:t>
            </w:r>
          </w:p>
        </w:tc>
      </w:tr>
      <w:tr>
        <w:tc>
          <w:tcPr>
            <w:tcW w:type="dxa" w:w="2257"/>
          </w:tcPr>
          <w:p>
            <w:r>
              <w:t>P2P между своими картами</w:t>
            </w:r>
          </w:p>
        </w:tc>
        <w:tc>
          <w:tcPr>
            <w:tcW w:type="dxa" w:w="2257"/>
          </w:tcPr>
          <w:p>
            <w:r>
              <w:t>≤ 3,0 с</w:t>
            </w:r>
          </w:p>
        </w:tc>
        <w:tc>
          <w:tcPr>
            <w:tcW w:type="dxa" w:w="2257"/>
          </w:tcPr>
          <w:p>
            <w:r>
              <w:t>≤ 5,0 с</w:t>
            </w:r>
          </w:p>
        </w:tc>
        <w:tc>
          <w:tcPr>
            <w:tcW w:type="dxa" w:w="2257"/>
          </w:tcPr>
          <w:p>
            <w:r>
              <w:t>≤ 1,0 %</w:t>
            </w:r>
          </w:p>
        </w:tc>
      </w:tr>
      <w:tr>
        <w:tc>
          <w:tcPr>
            <w:tcW w:type="dxa" w:w="2257"/>
          </w:tcPr>
          <w:p>
            <w:r>
              <w:t>Конвертация валют</w:t>
            </w:r>
          </w:p>
        </w:tc>
        <w:tc>
          <w:tcPr>
            <w:tcW w:type="dxa" w:w="2257"/>
          </w:tcPr>
          <w:p>
            <w:r>
              <w:t>≤ 2,5 с</w:t>
            </w:r>
          </w:p>
        </w:tc>
        <w:tc>
          <w:tcPr>
            <w:tcW w:type="dxa" w:w="2257"/>
          </w:tcPr>
          <w:p>
            <w:r>
              <w:t>≤ 4,0 с</w:t>
            </w:r>
          </w:p>
        </w:tc>
        <w:tc>
          <w:tcPr>
            <w:tcW w:type="dxa" w:w="2257"/>
          </w:tcPr>
          <w:p>
            <w:r>
              <w:t>≤ 1,0 %</w:t>
            </w:r>
          </w:p>
        </w:tc>
      </w:tr>
      <w:tr>
        <w:tc>
          <w:tcPr>
            <w:tcW w:type="dxa" w:w="2257"/>
          </w:tcPr>
          <w:p>
            <w:r>
              <w:t>Онлайн-оплата</w:t>
            </w:r>
          </w:p>
        </w:tc>
        <w:tc>
          <w:tcPr>
            <w:tcW w:type="dxa" w:w="2257"/>
          </w:tcPr>
          <w:p>
            <w:r>
              <w:t>≤ 3,0 с</w:t>
            </w:r>
          </w:p>
        </w:tc>
        <w:tc>
          <w:tcPr>
            <w:tcW w:type="dxa" w:w="2257"/>
          </w:tcPr>
          <w:p>
            <w:r>
              <w:t>≤ 5,0 с</w:t>
            </w:r>
          </w:p>
        </w:tc>
        <w:tc>
          <w:tcPr>
            <w:tcW w:type="dxa" w:w="2257"/>
          </w:tcPr>
          <w:p>
            <w:r>
              <w:t>≤ 1,0 %</w:t>
            </w:r>
          </w:p>
        </w:tc>
      </w:tr>
      <w:tr>
        <w:tc>
          <w:tcPr>
            <w:tcW w:type="dxa" w:w="2257"/>
          </w:tcPr>
          <w:p>
            <w:r>
              <w:t>Погашение кредита</w:t>
            </w:r>
          </w:p>
        </w:tc>
        <w:tc>
          <w:tcPr>
            <w:tcW w:type="dxa" w:w="2257"/>
          </w:tcPr>
          <w:p>
            <w:r>
              <w:t>≤ 3,0 с</w:t>
            </w:r>
          </w:p>
        </w:tc>
        <w:tc>
          <w:tcPr>
            <w:tcW w:type="dxa" w:w="2257"/>
          </w:tcPr>
          <w:p>
            <w:r>
              <w:t>≤ 5,0 с</w:t>
            </w:r>
          </w:p>
        </w:tc>
        <w:tc>
          <w:tcPr>
            <w:tcW w:type="dxa" w:w="2257"/>
          </w:tcPr>
          <w:p>
            <w:r>
              <w:t>≤ 1,0 %</w:t>
            </w:r>
          </w:p>
        </w:tc>
      </w:tr>
      <w:tr>
        <w:tc>
          <w:tcPr>
            <w:tcW w:type="dxa" w:w="2257"/>
          </w:tcPr>
          <w:p>
            <w:r>
              <w:t>Трансграничные переводы</w:t>
            </w:r>
          </w:p>
        </w:tc>
        <w:tc>
          <w:tcPr>
            <w:tcW w:type="dxa" w:w="2257"/>
          </w:tcPr>
          <w:p>
            <w:r>
              <w:t>≤ 4,0 с</w:t>
            </w:r>
          </w:p>
        </w:tc>
        <w:tc>
          <w:tcPr>
            <w:tcW w:type="dxa" w:w="2257"/>
          </w:tcPr>
          <w:p>
            <w:r>
              <w:t>≤ 6,0 с</w:t>
            </w:r>
          </w:p>
        </w:tc>
        <w:tc>
          <w:tcPr>
            <w:tcW w:type="dxa" w:w="2257"/>
          </w:tcPr>
          <w:p>
            <w:r>
              <w:t>≤ 1,0 %</w:t>
            </w:r>
          </w:p>
        </w:tc>
      </w:tr>
    </w:tbl>
    <w:p w:rsidR="00000000" w:rsidDel="00000000" w:rsidP="00000000" w:rsidRDefault="00000000" w:rsidRPr="00000000" w14:paraId="00000070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</w:p>
    <w:p w:rsidR="00000000" w:rsidDel="00000000" w:rsidP="00000000" w:rsidRDefault="00000000" w:rsidRPr="00000000" w14:paraId="0000007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flu53rj4ysrh" w:id="17"/>
      <w:bookmarkEnd w:id="17"/>
      <w:r w:rsidDel="00000000" w:rsidR="00000000" w:rsidRPr="00000000">
        <w:rPr>
          <w:rFonts w:ascii="Times New Roman" w:cs="Times New Roman" w:eastAsia="Times New Roman" w:hAnsi="Times New Roman"/>
          <w:b/>
          <w:bCs w:val="1"/>
          <w:sz w:val="28"/>
          <w:szCs w:val="28"/>
          <w:rtl w:val="0"/>
        </w:rPr>
        <w:t xml:space="preserve">7. Сценарии нагрузочного тестирования</w:t>
      </w:r>
    </w:p>
    <w:p w:rsidR="00000000" w:rsidDel="00000000" w:rsidP="00000000" w:rsidRDefault="00000000" w:rsidRPr="00000000" w14:paraId="0000007B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Сценарии строятся на основе регистрации, открытия главного экрана и выполнения целевых действий.</w:t>
      </w:r>
    </w:p>
    <w:p w:rsidR="00000000" w:rsidDel="00000000" w:rsidP="00000000" w:rsidRDefault="00000000" w:rsidRPr="00000000" w14:paraId="0000007C">
      <w:pPr>
        <w:numPr>
          <w:ilvl w:val="0"/>
          <w:numId w:val="13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Регистрация + Главный экран + P2P — 2 520 транзакций/час.</w:t>
      </w:r>
    </w:p>
    <w:p w:rsidR="00000000" w:rsidDel="00000000" w:rsidP="00000000" w:rsidRDefault="00000000" w:rsidRPr="00000000" w14:paraId="0000007C">
      <w:pPr>
        <w:numPr>
          <w:ilvl w:val="0"/>
          <w:numId w:val="13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Регистрация + Главный экран + Конвертация — 420 транзакций/час.</w:t>
      </w:r>
    </w:p>
    <w:p w:rsidR="00000000" w:rsidDel="00000000" w:rsidP="00000000" w:rsidRDefault="00000000" w:rsidRPr="00000000" w14:paraId="0000007C">
      <w:pPr>
        <w:numPr>
          <w:ilvl w:val="0"/>
          <w:numId w:val="13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Регистрация + Главный экран + Онлайн-оплата — 750 транзакций/час.</w:t>
      </w:r>
    </w:p>
    <w:p w:rsidR="00000000" w:rsidDel="00000000" w:rsidP="00000000" w:rsidRDefault="00000000" w:rsidRPr="00000000" w14:paraId="0000007C">
      <w:pPr>
        <w:numPr>
          <w:ilvl w:val="0"/>
          <w:numId w:val="13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Регистрация + Главный экран + Погашение кредита — 70 транзакций/час.</w:t>
      </w:r>
    </w:p>
    <w:p w:rsidR="00000000" w:rsidDel="00000000" w:rsidP="00000000" w:rsidRDefault="00000000" w:rsidRPr="00000000" w14:paraId="0000007C">
      <w:pPr>
        <w:numPr>
          <w:ilvl w:val="0"/>
          <w:numId w:val="13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Регистрация + Главный экран + Трансграничный перевод — 60 транзакций/час.</w:t>
      </w:r>
    </w:p>
    <w:p w:rsidR="00000000" w:rsidDel="00000000" w:rsidP="00000000" w:rsidRDefault="00000000" w:rsidRPr="00000000" w14:paraId="0000007C">
      <w:pPr>
        <w:numPr>
          <w:ilvl w:val="0"/>
          <w:numId w:val="13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Массовая регистрация + Главный экран — 27 000 транзакций/час.</w:t>
      </w:r>
    </w:p>
    <w:p w:rsidR="00000000" w:rsidDel="00000000" w:rsidP="00000000" w:rsidRDefault="00000000" w:rsidRPr="00000000" w14:paraId="0000008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x642jh8mlz0s" w:id="18"/>
      <w:bookmarkEnd w:id="18"/>
      <w:r w:rsidDel="00000000" w:rsidR="00000000" w:rsidRPr="00000000">
        <w:rPr>
          <w:rFonts w:ascii="Times New Roman" w:cs="Times New Roman" w:eastAsia="Times New Roman" w:hAnsi="Times New Roman"/>
          <w:b/>
          <w:bCs w:val="1"/>
          <w:sz w:val="28"/>
          <w:szCs w:val="28"/>
          <w:rtl w:val="0"/>
        </w:rPr>
        <w:t xml:space="preserve">8. Наполнение базы данных</w:t>
      </w:r>
    </w:p>
    <w:p w:rsidR="00000000" w:rsidDel="00000000" w:rsidP="00000000" w:rsidRDefault="00000000" w:rsidRPr="00000000" w14:paraId="00000083">
      <w:pPr>
        <w:numPr>
          <w:ilvl w:val="0"/>
          <w:numId w:val="14"/>
        </w:numPr>
        <w:spacing w:after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Для целей расчёта участник исходит из того, что база данных тестового контура наполняется Заказчиком на основе обезличенного дампа, сопоставимого по объёму с условной продуктивной средой.</w:t>
      </w:r>
    </w:p>
    <w:p w:rsidR="00000000" w:rsidDel="00000000" w:rsidP="00000000" w:rsidRDefault="00000000" w:rsidRPr="00000000" w14:paraId="00000083">
      <w:pPr>
        <w:numPr>
          <w:ilvl w:val="0"/>
          <w:numId w:val="14"/>
        </w:numPr>
        <w:spacing w:after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Тестовые данные (учётные записи с привязанными картами и счетами) подготавливаются и предоставляются Заказчиком в объёме, достаточном для проведения всех прогонов, предусмотренных разделом 5, но не менее 200 000 учётных записей.</w:t>
      </w:r>
    </w:p>
    <w:p w:rsidR="00000000" w:rsidDel="00000000" w:rsidP="00000000" w:rsidRDefault="00000000" w:rsidRPr="00000000" w14:paraId="00000083">
      <w:pPr>
        <w:numPr>
          <w:ilvl w:val="0"/>
          <w:numId w:val="14"/>
        </w:numPr>
        <w:spacing w:after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Данные для сценариев регистрации (номера телефонов, персональные данные) формируются Заказчиком на основе продуктивных данных с обезличиванием и передаются участнику. Трудозатраты и ресурсы на их подготовку в стоимость предложения не включаются.</w:t>
      </w:r>
    </w:p>
    <w:p w:rsidR="00000000" w:rsidDel="00000000" w:rsidP="00000000" w:rsidRDefault="00000000" w:rsidRPr="00000000" w14:paraId="00000083">
      <w:pPr>
        <w:numPr>
          <w:ilvl w:val="0"/>
          <w:numId w:val="14"/>
        </w:numPr>
        <w:spacing w:after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В объём работ включается очистка тестовых данных, сформированных в ходе прогонов, после завершения НТ.</w:t>
      </w:r>
    </w:p>
    <w:p w:rsidR="00000000" w:rsidDel="00000000" w:rsidP="00000000" w:rsidRDefault="00000000" w:rsidRPr="00000000" w14:paraId="0000008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2"/>
        <w:keepNext w:val="0"/>
        <w:keepLines w:val="0"/>
        <w:spacing w:after="8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fw582iud82ba" w:id="19"/>
      <w:bookmarkEnd w:id="19"/>
      <w:r w:rsidDel="00000000" w:rsidR="00000000" w:rsidRPr="00000000">
        <w:rPr>
          <w:rFonts w:ascii="Times New Roman" w:cs="Times New Roman" w:eastAsia="Times New Roman" w:hAnsi="Times New Roman"/>
          <w:b/>
          <w:bCs w:val="1"/>
          <w:sz w:val="28"/>
          <w:szCs w:val="28"/>
          <w:rtl w:val="0"/>
        </w:rPr>
        <w:t xml:space="preserve">9. Заглушки смежных систем</w:t>
      </w:r>
    </w:p>
    <w:p w:rsidR="00000000" w:rsidDel="00000000" w:rsidP="00000000" w:rsidRDefault="00000000" w:rsidRPr="00000000" w14:paraId="0000008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рамках тестового контура для обеспечения полной изоляции от продуктивных интеграций используются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заглушки внешних систем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88">
      <w:pPr>
        <w:pStyle w:val="Heading3"/>
        <w:keepNext w:val="0"/>
        <w:keepLines w:val="0"/>
        <w:spacing w:after="40" w:befor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bookmarkStart w:colFirst="0" w:colLast="0" w:name="_8q7o1cvd9ao9" w:id="20"/>
      <w:bookmarkEnd w:id="20"/>
      <w:r w:rsidDel="00000000" w:rsidR="00000000" w:rsidRPr="00000000">
        <w:rPr>
          <w:rFonts w:ascii="Times New Roman" w:cs="Times New Roman" w:eastAsia="Times New Roman" w:hAnsi="Times New Roman"/>
          <w:b/>
          <w:bCs w:val="1"/>
          <w:color w:val="000000"/>
          <w:sz w:val="22"/>
          <w:szCs w:val="22"/>
          <w:rtl w:val="0"/>
        </w:rPr>
        <w:t xml:space="preserve">Перечень заглушек:</w:t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ESB (Enterprise Service Bus)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сервисная шина.</w:t>
      </w:r>
    </w:p>
    <w:p w:rsidR="00000000" w:rsidDel="00000000" w:rsidP="00000000" w:rsidRDefault="00000000" w:rsidRPr="00000000" w14:paraId="0000008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HUMO, UzCard, Tieto, Solar, PayNet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картпроцессинг и платёжные шлюзы.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IABS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автоматизированная банковская система (клиенты, счета, переводы).</w:t>
      </w:r>
    </w:p>
    <w:p w:rsidR="00000000" w:rsidDel="00000000" w:rsidP="00000000" w:rsidRDefault="00000000" w:rsidRPr="00000000" w14:paraId="0000008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CRM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модуль управления взаимоотношениями с клиентами.</w:t>
      </w:r>
    </w:p>
    <w:p w:rsidR="00000000" w:rsidDel="00000000" w:rsidP="00000000" w:rsidRDefault="00000000" w:rsidRPr="00000000" w14:paraId="0000008D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кредитный модуль.</w:t>
      </w:r>
    </w:p>
    <w:p w:rsidR="00000000" w:rsidDel="00000000" w:rsidP="00000000" w:rsidRDefault="00000000" w:rsidRPr="00000000" w14:paraId="0000008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целей расчёта стоимости принимаются следующие условные объёмы и типы реализации заглушек:</w:t>
      </w:r>
    </w:p>
    <w:p w:rsidR="00000000" w:rsidDel="00000000" w:rsidP="00000000" w:rsidRDefault="00000000" w:rsidRPr="00000000" w14:paraId="0000008F">
      <w:pPr>
        <w:spacing w:after="240" w:before="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09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2769.6666666666665"/>
        <w:gridCol w:w="2769.6666666666665"/>
        <w:gridCol w:w="2769.6666666666665"/>
        <w:tblGridChange w:id="0">
          <w:tblGrid>
            <w:gridCol w:w="2769.6666666666665"/>
            <w:gridCol w:w="2769.6666666666665"/>
            <w:gridCol w:w="276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  <w:shd w:val="clear" w:fill="F2F2F2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sz w:val="24"/>
                <w:szCs w:val="24"/>
                <w:rtl w:val="0"/>
              </w:rPr>
              <w:t xml:space="preserve">Заглушка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  <w:shd w:val="clear" w:fill="F2F2F2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sz w:val="24"/>
                <w:szCs w:val="24"/>
                <w:rtl w:val="0"/>
              </w:rPr>
              <w:t xml:space="preserve">Количество методов (условно)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  <w:shd w:val="clear" w:fill="F2F2F2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sz w:val="24"/>
                <w:szCs w:val="24"/>
                <w:rtl w:val="0"/>
              </w:rPr>
              <w:t xml:space="preserve">Тип реализации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stateless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HUMO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stateless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UzCard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stateless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Tieto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stateless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stateless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IABS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stateful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stateless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stateful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PayNet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stateless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Итого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spacing w:after="240" w:before="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B2">
      <w:pPr>
        <w:pStyle w:val="Heading3"/>
        <w:keepNext w:val="0"/>
        <w:keepLines w:val="0"/>
        <w:spacing w:before="28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bookmarkStart w:colFirst="0" w:colLast="0" w:name="_t5bnj853uafd" w:id="21"/>
      <w:bookmarkEnd w:id="21"/>
      <w:r w:rsidDel="00000000" w:rsidR="00000000" w:rsidRPr="00000000">
        <w:rPr>
          <w:rFonts w:ascii="Times New Roman" w:cs="Times New Roman" w:eastAsia="Times New Roman" w:hAnsi="Times New Roman"/>
          <w:b/>
          <w:bCs w:val="1"/>
          <w:color w:val="000000"/>
          <w:sz w:val="20"/>
          <w:szCs w:val="20"/>
          <w:rtl w:val="0"/>
        </w:rPr>
        <w:t xml:space="preserve">SLA по заглушкам:</w:t>
      </w:r>
    </w:p>
    <w:p w:rsidR="00000000" w:rsidDel="00000000" w:rsidP="00000000" w:rsidRDefault="00000000" w:rsidRPr="00000000" w14:paraId="000000B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>
        <w:t>Для заглушек установлены условные искусственные задержки отклика:</w:t>
      </w:r>
    </w:p>
    <w:p w:rsidR="00000000" w:rsidDel="00000000" w:rsidP="00000000" w:rsidRDefault="00000000" w:rsidRPr="00000000" w14:paraId="000000B4">
      <w:pPr>
        <w:numPr>
          <w:ilvl w:val="0"/>
          <w:numId w:val="16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OpenAPI/token — 50 мс</w:t>
        <w:br w:type="textWrapping"/>
      </w:r>
    </w:p>
    <w:p w:rsidR="00000000" w:rsidDel="00000000" w:rsidP="00000000" w:rsidRDefault="00000000" w:rsidRPr="00000000" w14:paraId="000000B5">
      <w:pPr>
        <w:numPr>
          <w:ilvl w:val="0"/>
          <w:numId w:val="16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Внутренние сервисы аутентификации — 100 мс</w:t>
        <w:br w:type="textWrapping"/>
      </w:r>
    </w:p>
    <w:p w:rsidR="00000000" w:rsidDel="00000000" w:rsidP="00000000" w:rsidRDefault="00000000" w:rsidRPr="00000000" w14:paraId="000000B6">
      <w:pPr>
        <w:numPr>
          <w:ilvl w:val="0"/>
          <w:numId w:val="16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Банковские шлюзы (HUMO, UzCard, PayNet, Solar, Tieto) — 800–1000 мс (random)</w:t>
      </w:r>
    </w:p>
    <w:p w:rsidR="00000000" w:rsidDel="00000000" w:rsidP="00000000" w:rsidRDefault="00000000" w:rsidRPr="00000000" w14:paraId="000000B7">
      <w:pPr>
        <w:numPr>
          <w:ilvl w:val="0"/>
          <w:numId w:val="16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t>IABS / RS — 70–100 мс (random)</w:t>
      </w:r>
    </w:p>
    <w:p w:rsidR="00000000" w:rsidDel="00000000" w:rsidP="00000000" w:rsidRDefault="00000000" w:rsidRPr="00000000" w14:paraId="000000B8">
      <w:pPr>
        <w:pStyle w:val="Heading3"/>
        <w:keepNext w:val="0"/>
        <w:keepLines w:val="0"/>
        <w:spacing w:after="40" w:befor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bookmarkStart w:colFirst="0" w:colLast="0" w:name="_ldwkfhl6bmrc" w:id="22"/>
      <w:bookmarkEnd w:id="22"/>
      <w:r w:rsidDel="00000000" w:rsidR="00000000" w:rsidRPr="00000000">
        <w:rPr>
          <w:rFonts w:ascii="Times New Roman" w:cs="Times New Roman" w:eastAsia="Times New Roman" w:hAnsi="Times New Roman"/>
          <w:b/>
          <w:bCs w:val="1"/>
          <w:color w:val="000000"/>
          <w:sz w:val="22"/>
          <w:szCs w:val="22"/>
          <w:rtl w:val="0"/>
        </w:rPr>
        <w:t xml:space="preserve">Требования к реализации заглушек:</w:t>
      </w:r>
    </w:p>
    <w:p w:rsidR="00000000" w:rsidDel="00000000" w:rsidP="00000000" w:rsidRDefault="00000000" w:rsidRPr="00000000" w14:paraId="000000B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Заглушки фиксируют вызовы и возвращают стандартные ответы, обеспечивая нагрузочный профиль без обращения к реальным системам.</w:t>
      </w:r>
    </w:p>
    <w:p w:rsidR="00000000" w:rsidDel="00000000" w:rsidP="00000000" w:rsidRDefault="00000000" w:rsidRPr="00000000" w14:paraId="000000B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 заглушки, за исключением IABS и RS, реализуются как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не сохраняющие состояние (stateless)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ответ формируется на основании параметров запроса без учёта результатов предыдущих вызовов. Ответы, требующие связи между сущностями (например, соответствие номера карты клиенту), формируются детерминированно на основании параметров запроса. Реализация бизнес-логики заглушаемых систем не требуется.</w:t>
      </w:r>
    </w:p>
    <w:p w:rsidR="00000000" w:rsidDel="00000000" w:rsidP="00000000" w:rsidRDefault="00000000" w:rsidRPr="00000000" w14:paraId="000000B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Заглушки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IABS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реализуются как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сохраняющие состояние (stateful)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 объёме, необходимом для согласованного выполнения пользовательских сценариев раздела 7 в пределах одного сценария: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b/>
        </w:rPr>
        <w:t xml:space="preserve">IABS — </w:t>
      </w:r>
      <w:r>
        <w:t>идентификаторы созданных клиентов, перечень их счетов и карт, изменение остатков по счетам и картам после операций перевода, конвертации и оплаты;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b/>
        </w:rPr>
        <w:t xml:space="preserve">RS — </w:t>
      </w:r>
      <w:r>
        <w:t>изменение суммы задолженности по кредиту после операции погашения.</w:t>
      </w:r>
    </w:p>
    <w:p w:rsidR="00000000" w:rsidDel="00000000" w:rsidP="00000000" w:rsidRDefault="00000000" w:rsidRPr="00000000" w14:paraId="000000B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Реализация иной бизнес-логики заглушаемых систем не требуется.</w:t>
      </w:r>
    </w:p>
    <w:p w:rsidR="00000000" w:rsidDel="00000000" w:rsidP="00000000" w:rsidRDefault="00000000" w:rsidRPr="00000000" w14:paraId="000000B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Способ хранения состояния (оперативная память, встроенное или внешнее хранилище) определяется участником самостоятельно. Инфраструктура для размещения заглушек и их хранилищ предоставляется Заказчиком в соответствии с п.1.3.</w:t>
      </w:r>
    </w:p>
    <w:p w:rsidR="00000000" w:rsidDel="00000000" w:rsidP="00000000" w:rsidRDefault="00000000" w:rsidRPr="00000000" w14:paraId="000000B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l6vxc6mezuk5" w:id="23"/>
      <w:bookmarkEnd w:id="23"/>
      <w:r w:rsidDel="00000000" w:rsidR="00000000" w:rsidRPr="00000000">
        <w:rPr>
          <w:rFonts w:ascii="Times New Roman" w:cs="Times New Roman" w:eastAsia="Times New Roman" w:hAnsi="Times New Roman"/>
          <w:b/>
          <w:bCs w:val="1"/>
          <w:sz w:val="28"/>
          <w:szCs w:val="28"/>
          <w:rtl w:val="0"/>
        </w:rPr>
        <w:t xml:space="preserve">10. Мониторинг и метрики</w:t>
      </w:r>
    </w:p>
    <w:p w:rsidR="00000000" w:rsidDel="00000000" w:rsidP="00000000" w:rsidRDefault="00000000" w:rsidRPr="00000000" w14:paraId="000000C1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b/>
        </w:rPr>
        <w:t>Инструменты:</w:t>
      </w:r>
      <w:r>
        <w:t xml:space="preserve"> InfluxDB, VMStora (VictoriaMetrics), Grafana.</w:t>
      </w:r>
    </w:p>
    <w:p w:rsidR="00000000" w:rsidDel="00000000" w:rsidP="00000000" w:rsidRDefault="00000000" w:rsidRPr="00000000" w14:paraId="000000C2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Метрики:</w:t>
      </w:r>
    </w:p>
    <w:p w:rsidR="00000000" w:rsidDel="00000000" w:rsidP="00000000" w:rsidRDefault="00000000" w:rsidRPr="00000000" w14:paraId="000000C3">
      <w:pPr>
        <w:numPr>
          <w:ilvl w:val="0"/>
          <w:numId w:val="17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Производительность: время отклика, RPS, транзакции, ошибки.</w:t>
        <w:br w:type="textWrapping"/>
      </w:r>
    </w:p>
    <w:p w:rsidR="00000000" w:rsidDel="00000000" w:rsidP="00000000" w:rsidRDefault="00000000" w:rsidRPr="00000000" w14:paraId="000000C4">
      <w:pPr>
        <w:numPr>
          <w:ilvl w:val="0"/>
          <w:numId w:val="17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Системные: CPU, RAM, IO, сеть.</w:t>
        <w:br w:type="textWrapping"/>
      </w:r>
    </w:p>
    <w:p w:rsidR="00000000" w:rsidDel="00000000" w:rsidP="00000000" w:rsidRDefault="00000000" w:rsidRPr="00000000" w14:paraId="000000C5">
      <w:pPr>
        <w:numPr>
          <w:ilvl w:val="0"/>
          <w:numId w:val="17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JVM: heap, GC, threads.</w:t>
        <w:br w:type="textWrapping"/>
      </w:r>
    </w:p>
    <w:p w:rsidR="00000000" w:rsidDel="00000000" w:rsidP="00000000" w:rsidRDefault="00000000" w:rsidRPr="00000000" w14:paraId="000000C6">
      <w:pPr>
        <w:numPr>
          <w:ilvl w:val="0"/>
          <w:numId w:val="17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PostgreSQL: соединения, транзакции, блокировки, deadlocks, статистика запросов.</w:t>
        <w:br w:type="textWrapping"/>
      </w:r>
    </w:p>
    <w:p w:rsidR="00000000" w:rsidDel="00000000" w:rsidP="00000000" w:rsidRDefault="00000000" w:rsidRPr="00000000" w14:paraId="000000C7">
      <w:pPr>
        <w:numPr>
          <w:ilvl w:val="0"/>
          <w:numId w:val="17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Kubernetes: здоровье кластера, Request/Response time, логи.</w:t>
        <w:br w:type="textWrapping"/>
      </w:r>
    </w:p>
    <w:p w:rsidR="00000000" w:rsidDel="00000000" w:rsidP="00000000" w:rsidRDefault="00000000" w:rsidRPr="00000000" w14:paraId="000000C8">
      <w:pPr>
        <w:numPr>
          <w:ilvl w:val="0"/>
          <w:numId w:val="17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RabbitMQ: статистика сообщений, очереди, соединения.</w:t>
        <w:br w:type="textWrapping"/>
      </w:r>
    </w:p>
    <w:p w:rsidR="00000000" w:rsidDel="00000000" w:rsidP="00000000" w:rsidRDefault="00000000" w:rsidRPr="00000000" w14:paraId="000000C1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t>Дашборды мониторинга предоставляются Заказчиком. Участник выполняет их адаптацию под сценарии нагрузочного тестирования.</w:t>
      </w:r>
    </w:p>
    <w:p w:rsidR="00000000" w:rsidDel="00000000" w:rsidP="00000000" w:rsidRDefault="00000000" w:rsidRPr="00000000" w14:paraId="000000C9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6lzk304lzbrh" w:id="24"/>
      <w:bookmarkEnd w:id="24"/>
      <w:r>
        <w:rPr>
          <w:b/>
        </w:rPr>
        <w:t>11. Результаты работ</w:t>
      </w:r>
    </w:p>
    <w:p w:rsidR="00000000" w:rsidDel="00000000" w:rsidP="00000000" w:rsidRDefault="00000000" w:rsidRPr="00000000" w14:paraId="000000CB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состав результатов работ, учитываемых при расчёте стоимости, входят:</w:t>
      </w:r>
    </w:p>
    <w:p w:rsidR="00000000" w:rsidDel="00000000" w:rsidP="00000000" w:rsidRDefault="00000000" w:rsidRPr="00000000" w14:paraId="000000CC">
      <w:pPr>
        <w:numPr>
          <w:ilvl w:val="0"/>
          <w:numId w:val="10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методика НТ;</w:t>
        <w:br w:type="textWrapping"/>
      </w:r>
    </w:p>
    <w:p w:rsidR="00000000" w:rsidDel="00000000" w:rsidP="00000000" w:rsidRDefault="00000000" w:rsidRPr="00000000" w14:paraId="000000CD">
      <w:pPr>
        <w:numPr>
          <w:ilvl w:val="0"/>
          <w:numId w:val="10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нагрузочные скрипты и инструкции;</w:t>
        <w:br w:type="textWrapping"/>
      </w:r>
    </w:p>
    <w:p w:rsidR="00000000" w:rsidDel="00000000" w:rsidP="00000000" w:rsidRDefault="00000000" w:rsidRPr="00000000" w14:paraId="000000CE">
      <w:pPr>
        <w:numPr>
          <w:ilvl w:val="0"/>
          <w:numId w:val="10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отчёт по НТ, включающий:</w:t>
        <w:br w:type="textWrapping"/>
      </w:r>
    </w:p>
    <w:p w:rsidR="00000000" w:rsidDel="00000000" w:rsidP="00000000" w:rsidRDefault="00000000" w:rsidRPr="00000000" w14:paraId="000000CF">
      <w:pPr>
        <w:numPr>
          <w:ilvl w:val="1"/>
          <w:numId w:val="10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описание стенда;</w:t>
        <w:br w:type="textWrapping"/>
      </w:r>
    </w:p>
    <w:p w:rsidR="00000000" w:rsidDel="00000000" w:rsidP="00000000" w:rsidRDefault="00000000" w:rsidRPr="00000000" w14:paraId="000000D0">
      <w:pPr>
        <w:numPr>
          <w:ilvl w:val="1"/>
          <w:numId w:val="10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условия тестирования;</w:t>
        <w:br w:type="textWrapping"/>
      </w:r>
    </w:p>
    <w:p w:rsidR="00000000" w:rsidDel="00000000" w:rsidP="00000000" w:rsidRDefault="00000000" w:rsidRPr="00000000" w14:paraId="000000D1">
      <w:pPr>
        <w:numPr>
          <w:ilvl w:val="1"/>
          <w:numId w:val="10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показатели бизнес-метрик и SLA;</w:t>
        <w:br w:type="textWrapping"/>
      </w:r>
    </w:p>
    <w:p w:rsidR="00000000" w:rsidDel="00000000" w:rsidP="00000000" w:rsidRDefault="00000000" w:rsidRPr="00000000" w14:paraId="000000D2">
      <w:pPr>
        <w:numPr>
          <w:ilvl w:val="1"/>
          <w:numId w:val="10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результаты мониторинга;</w:t>
        <w:br w:type="textWrapping"/>
      </w:r>
    </w:p>
    <w:p w:rsidR="00000000" w:rsidDel="00000000" w:rsidP="00000000" w:rsidRDefault="00000000" w:rsidRPr="00000000" w14:paraId="000000D3">
      <w:pPr>
        <w:numPr>
          <w:ilvl w:val="1"/>
          <w:numId w:val="10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выявленные «узкие места»;</w:t>
        <w:br w:type="textWrapping"/>
      </w:r>
    </w:p>
    <w:p w:rsidR="00000000" w:rsidDel="00000000" w:rsidP="00000000" w:rsidRDefault="00000000" w:rsidRPr="00000000" w14:paraId="000000D4">
      <w:pPr>
        <w:numPr>
          <w:ilvl w:val="1"/>
          <w:numId w:val="10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по оптимизации;</w:t>
        <w:br w:type="textWrapping"/>
      </w:r>
    </w:p>
    <w:p w:rsidR="00000000" w:rsidDel="00000000" w:rsidP="00000000" w:rsidRDefault="00000000" w:rsidRPr="00000000" w14:paraId="000000D5">
      <w:pPr>
        <w:numPr>
          <w:ilvl w:val="1"/>
          <w:numId w:val="10"/>
        </w:numPr>
        <w:spacing w:after="24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протоколы тестирования.</w:t>
        <w:br w:type="textWrapping"/>
      </w:r>
    </w:p>
    <w:p w:rsidR="00000000" w:rsidDel="00000000" w:rsidP="00000000" w:rsidRDefault="00000000" w:rsidRPr="00000000" w14:paraId="000000D6">
      <w:pPr>
        <w:pStyle w:val="Heading2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5cz1zese0p8f" w:id="25"/>
      <w:bookmarkEnd w:id="25"/>
      <w:r w:rsidDel="00000000" w:rsidR="00000000" w:rsidRPr="00000000">
        <w:rPr>
          <w:rFonts w:ascii="Times New Roman" w:cs="Times New Roman" w:eastAsia="Times New Roman" w:hAnsi="Times New Roman"/>
          <w:b/>
          <w:bCs w:val="1"/>
          <w:color w:val="000000"/>
          <w:sz w:val="26"/>
          <w:szCs w:val="26"/>
          <w:rtl w:val="0"/>
        </w:rPr>
        <w:t xml:space="preserve">12. Состав расчёта стоимости</w:t>
      </w:r>
    </w:p>
    <w:p w:rsidR="00000000" w:rsidDel="00000000" w:rsidP="00000000" w:rsidRDefault="00000000" w:rsidRPr="00000000" w14:paraId="000000D7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Расчёт стоимости выполнения работ по настоящему Техническому заданию представляется участником в свободной форме и должен содержать:</w:t>
      </w:r>
    </w:p>
    <w:p w:rsidR="00000000" w:rsidDel="00000000" w:rsidP="00000000" w:rsidRDefault="00000000" w:rsidRPr="00000000" w14:paraId="000000D8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>
        <w:rPr>
          <w:b/>
        </w:rPr>
        <w:t>Разбивку трудоёмкости</w:t>
      </w:r>
      <w:r>
        <w:t xml:space="preserve"> в разрезе: этап работ / роль / грейд / количество человеко-часов / ставка за человеко-час / стоимость. Применяемые ставки должны соответствовать ставкам, указанным участником в Таблице 1 Приложения 2 к Конкурсной документации.</w:t>
      </w:r>
    </w:p>
    <w:p w:rsidR="00000000" w:rsidDel="00000000" w:rsidP="00000000" w:rsidRDefault="00000000" w:rsidRPr="00000000" w14:paraId="000000D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Предлагаемую длительность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выполнения работ в календарных месяцах — не более предельного срока, установленного разделом 1 настоящего Технического задания.</w:t>
      </w:r>
    </w:p>
    <w:p w:rsidR="00000000" w:rsidDel="00000000" w:rsidP="00000000" w:rsidRDefault="00000000" w:rsidRPr="00000000" w14:paraId="000000D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Заявленный состав команды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не превышающий состав, установленный пунктом 1.2 настоящего Технического задания.</w:t>
      </w:r>
    </w:p>
    <w:p w:rsidR="00000000" w:rsidDel="00000000" w:rsidP="00000000" w:rsidRDefault="00000000" w:rsidRPr="00000000" w14:paraId="000000D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Требуемую конфигурацию нагрузочных генераторов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(количество узлов, CPU, RAM, дисковое пространство, схема запуска) с обоснованием необходимой мощности исходя из интенсивностей раздела 6.</w:t>
      </w:r>
    </w:p>
    <w:p w:rsidR="00000000" w:rsidDel="00000000" w:rsidP="00000000" w:rsidRDefault="00000000" w:rsidRPr="00000000" w14:paraId="000000D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Итоговую стоимость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 указанием валюты и режима налогообложения (с НДС / НДС не облагается).</w:t>
      </w:r>
    </w:p>
    <w:p w:rsidR="00000000" w:rsidDel="00000000" w:rsidP="00000000" w:rsidRDefault="00000000" w:rsidRPr="00000000" w14:paraId="000000DD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Перечень допущений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принятых участником при расчёте, — при их наличии, с учётом пункта 1.3 настоящего Технического задания.</w:t>
      </w:r>
    </w:p>
    <w:p w:rsidR="00000000" w:rsidDel="00000000" w:rsidP="00000000" w:rsidRDefault="00000000" w:rsidRPr="00000000" w14:paraId="000000DE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t>Расчёт, не содержащий сведений, предусмотренных подпунктами 1–5, либо выходящий за пределы, установленные пунктами 1.2 и разделом 1 настоящего Технического задания, является основанием для направления участнику запроса на уточнение.</w:t>
      </w:r>
    </w:p>
    <w:p w:rsidR="00000000" w:rsidDel="00000000" w:rsidP="00000000" w:rsidRDefault="00000000" w:rsidRPr="00000000" w14:paraId="000000D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