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Приложение №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к Конкурсной документации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По конкурсу «Внедрение Программного Комплекса «Исламский Банкинг»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(инсталляция и внедрение ПО, миграция, техническая поддержка)»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для АКБ «Hamkorbank»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400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№ ____ от «___» __________ 20___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200" w:before="3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30"/>
          <w:szCs w:val="30"/>
          <w:rtl w:val="0"/>
        </w:rPr>
        <w:t xml:space="preserve">Конкурсное предложение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Уважаемые господа!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1. Изучив документацию о проведении конкурсного отбора на право заключения договора на «Внедрение Программного Комплекса «Исламский Банкинг» (инсталляция и внедрение ПО, миграция, техническая поддержка)» для АКБ «Hamkorbank» компания _____________________ (указать организационно-правовую форму и наименование компании) в лице _________________ (указать должность и Ф.И.О. руководителя / уполномоченного лица) сообщает свое согласие заключить договор в полном соответствии с требованиями конкурсной документации и Технического задания на следующих условиях: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Общая стоимость предложения составляет ______________________________________ (указать валюту долл. США / сум РУз), с НДС / НДС не облагается (оставить соответствующее режиму налогообложения) с разбивкой в Таблице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Детализированная расшифровка стоимости ПО (спецификация ПО), работ и услуг представлено в Приложении №1 к Конкурсному предложению.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before="80" w:line="30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Таблица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before="80" w:line="3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Предложение участника по стоимости внедрения «Внедрение Программного Комплекса «Исламский Банкинг» производителя _____________ (указать наименование вендора)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4360"/>
        <w:gridCol w:w="1100"/>
        <w:gridCol w:w="1100"/>
        <w:gridCol w:w="1100"/>
        <w:gridCol w:w="1100"/>
        <w:tblGridChange w:id="0">
          <w:tblGrid>
            <w:gridCol w:w="600"/>
            <w:gridCol w:w="4360"/>
            <w:gridCol w:w="1100"/>
            <w:gridCol w:w="1100"/>
            <w:gridCol w:w="1100"/>
            <w:gridCol w:w="110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№ пп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Наименование (описание)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Ед. измерения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Цена за единицу (с учетом НДС / НДС не облагается), долл. США / сум РУз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Стоимость (с учетом НДС / НДС не облагается), долл. США / сум РУз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ФАЗА 1 — ОБСЛЕДОВАНИЕ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sdt>
              <w:sdtPr>
                <w:id w:val="-791658930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Обследование, подготовка детального Технического задания, плана реализации, миграции и тестирования (срок ≤ 1,5 мес).</w:t>
                </w:r>
              </w:sdtContent>
            </w:sdt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Усл. 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z w:val="20"/>
                <w:szCs w:val="20"/>
                <w:rtl w:val="0"/>
              </w:rPr>
              <w:t xml:space="preserve">ФАЗА 2 — РЕАЛИЗАЦИЯ И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ВВОД В ПЭ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Лицензии / программное обеспечение по базовому функционалу ПК «Исламский Банкинг» в расчёте на 3 года*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Лицензия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Лицензии / программное обеспечение для дополнительного функционала ПК «Исламский Банкинг» в расчёте на 3 года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Лицензия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2.3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Работы по установке, настройке, интеграционному тестированию и интеграции программного обеспечения в рамках Фазы 2, включая внедрение, интеграцию и кастомизацию шариатской валидации, а также подключение к системам Банка, указанным в ТЗ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Усл. ед.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Работы по миграции данных в рамках Фазы 2, включая анализ, подготовку, перенос, проверку, загрузку и подтверждение корректности мигрированных данных по продуктам Мудараба и линия Мурабаха ICD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Усл. ед.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Техническая поддержка ПО в течение 3 лет (включая гарантийную поддержку в течение 2-х месяцев с даты подписания акта ввода в промышленную эксплуатацию и не менее 40 чел/часов/мес доработок согласно условиям технической поддержки, установленным настоящей конкурсной документацией)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Усл. 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2.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Обучение сотрудников банка (минимальная группа из 10 человек)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Усл. 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Стороннее программное обеспечение, необходимое для промышленной эксплуатации решения, если применимо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Усл. ед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2.8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Дополнительные лицензии при масштабировании клиентской базы (фиксированная цена за единицу метрики)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Усл. ед 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...... (дополнить при необходимости)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20"/>
                <w:szCs w:val="20"/>
                <w:rtl w:val="0"/>
              </w:rPr>
              <w:t xml:space="preserve">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0"/>
                <w:szCs w:val="20"/>
                <w:rtl w:val="0"/>
              </w:rPr>
              <w:t xml:space="preserve">Заполняется Участником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ИТОГО (Фаза 1 + Фаза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40" w:before="240" w:line="300" w:lineRule="auto"/>
        <w:jc w:val="both"/>
        <w:rPr/>
      </w:pPr>
      <w:r w:rsidDel="00000000" w:rsidR="00000000" w:rsidRPr="00000000">
        <w:rPr>
          <w:rtl w:val="0"/>
        </w:rPr>
        <w:t xml:space="preserve">Срок внедрения системы в рамках Фазы 2: ____ месяцев с даты начала Фазы 2 (не более 12 месяцев с учётом ограничения общего срока проекта 13,5 месяцев, включая 1,5 месяца Фазы 1; ожидаемый (целевой) срок реализации Фазы 2 — 9 месяцев).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80" w:before="80" w:line="30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 Цена по строке 2.8 указывается за единую метрику — за 1 (один) активный договор, независимо от внутренней модели лицензирования Участника</w:t>
      </w:r>
    </w:p>
    <w:p w:rsidR="00000000" w:rsidDel="00000000" w:rsidP="00000000" w:rsidRDefault="00000000" w:rsidRPr="00000000" w14:paraId="0000006D">
      <w:pPr>
        <w:spacing w:after="80" w:before="80" w:line="30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 Участник указывает модель лицензирования и метрику тарификации (пользователь / клиент / активный договор / счёт / TPS / ядро / безлимит), а также объём (baseline), включённый в стоимость строк 2.1–2.2. Стоимость дополнительных лицензий при росте клиентской базы сверх включённого объёма указывается отдельно в виде фиксированной цены за единицу и является неизменной в течение всего срока технической поддержки (3 года). Индексация допускается не чаще одного раза в год и не более 10% в год для стоимости, выраженной в сумах. Для стоимости, выраженной в долларах США, индексация допускается не более 3% в год. Указанные фиксированные ставки подлежат закреплению в договоре.</w:t>
      </w:r>
    </w:p>
    <w:p w:rsidR="00000000" w:rsidDel="00000000" w:rsidP="00000000" w:rsidRDefault="00000000" w:rsidRPr="00000000" w14:paraId="0000006E">
      <w:pPr>
        <w:spacing w:after="80" w:before="80" w:line="300" w:lineRule="auto"/>
        <w:jc w:val="both"/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* в случае, если участником предоставляется одна лицензия, она должна обеспечивать подключение безлимитного количества пользователей.</w:t>
      </w:r>
    </w:p>
    <w:p w:rsidR="00000000" w:rsidDel="00000000" w:rsidP="00000000" w:rsidRDefault="00000000" w:rsidRPr="00000000" w14:paraId="0000006F">
      <w:pPr>
        <w:spacing w:after="80" w:before="80" w:line="30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 В стоимость строк 2.1 и 2.2 включаются все лицензии / программное обеспечение, необходимые для использования базового и дополнительного функционала ПК «Исламский Банкинг». В случае необходимости использования стороннего программного обеспечения, не включенного в строки 2.1 и 2.2, Участник обязан указать его отдельной строкой в Таблице 1 в составе строк, дополняемых при необходимости.</w:t>
      </w:r>
    </w:p>
    <w:p w:rsidR="00000000" w:rsidDel="00000000" w:rsidP="00000000" w:rsidRDefault="00000000" w:rsidRPr="00000000" w14:paraId="00000070">
      <w:pPr>
        <w:spacing w:after="80" w:before="80" w:line="30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указать валюту согласно п.6 конкурсной документации.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Стоимость технической поддержки является фиксированной на весь срок действия Договора и изменению не подлежит.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Стоимость технической поддержки в Таблице 1 включает работы Исполнителя по доработке и адаптации Системы по запросу Заказчика в объёме не менее 40 (сорока) человеко-часов в месяц без дополнительной оплаты (неиспользованные часы на следующий месяц не переносятся). Часы доработок свыше указанного объёма </w:t>
      </w:r>
      <w:r w:rsidDel="00000000" w:rsidR="00000000" w:rsidRPr="00000000">
        <w:rPr>
          <w:rtl w:val="0"/>
        </w:rPr>
        <w:t xml:space="preserve">оплачиваются по ставкам, указанным в листе „Ставки и типовая команда“ Приложения № 1 к Конкурсному предложению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Стоимость Фазы 1 (обследование, строка 1.1) является фиксированной, не подлежит пересмотру и должна быть обоснована Участником через состав и трудозатраты команды обследования (часы × ставки) в Расширенной форме конкурсного предложения.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Стоимость Фазы 2 (все строки Таблицы 1, входящие в TCO) является оценкой для целей оценки конкурсного предложения и расчета TCO. Параметры, объем, сроки и стоимость Фазы 2 подлежат уточнению Исполнителем по итогам Фазы 1 в порядке, предусмотренном Техническим заданием и настоящей конкурсной документацией, с допустимым отклонением не более 20 % от заявленной стоимости Фазы 2 как в сторону увеличения, так и в сторону уменьшения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При выходе за пределы допустимого диапазона 80–120 %, а также в иных случаях, предусмотренных договором, заключаемым с победителем Конкурса по результатам конкурсных процедур, Заказчик вправе инициировать пересмотр условий реализации Фазы 2 либо отказаться от дальнейшей реализации Фазы 2 в порядке, установленном таким договором.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Стоимость Фазы 1 оплачивается в полном объеме независимо от продолжения реализации Фазы 2. Все артефакты Фазы 1 после оплаты переходят в собственность Заказчика.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  <w:t xml:space="preserve">Изменения регуляторных требований ЦБ РУз и иные внешние обстоятельства не входят допустимый диапазон отклонения от 80 % до 120 % от заявленной стоимости и оформляются отдельными дополнительными соглашениями в порядке, предусмотренном договором, заключаемым с победителем Конкурса по результатам конкурсных процедур.</w:t>
      </w:r>
    </w:p>
    <w:p w:rsidR="00000000" w:rsidDel="00000000" w:rsidP="00000000" w:rsidRDefault="00000000" w:rsidRPr="00000000" w14:paraId="00000079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80" w:before="80" w:line="30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Порядок оплаты. Оплата по Договору производится строго поэтапно, с привязкой каждого платежа к контрольным точкам (milestones) и результатам этапов и итераций проекта, определённым Техническим заданием (Приложение № 3, разделы 9.3.9 и 9.4). Основанием для проведения каждого платежа является подписанный Акт приёмки соответствующего этапа / итерации, оформляемый после верификации и подтверждения достигнутых результатов уполномоченными представителями ИТ-блока и Службы исламского финансирования Банка в рамках приёмки по разделу 9.4 Технического задания. Оплата за фактически не принятые Банком результаты не производится. Оплата вознаграждения за предоставление прав на использование ПО (включая права на обновление ПО) и стоимости лицензий производится в порядке, привязанном к вводу соответствующего функционала в эксплуатацию и подписанию актов приёмки.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80" w:before="80" w:line="30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Стоимость Фазы 1 (строка 1.1 Таблицы 1) оплачивается единовременно в полном объёме по факту подписания Акта приёмки Фазы 1 в соответствии с условиями настоящей формы и Технического задания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2. </w:t>
      </w:r>
      <w:r w:rsidDel="00000000" w:rsidR="00000000" w:rsidRPr="00000000">
        <w:rPr>
          <w:rtl w:val="0"/>
        </w:rPr>
        <w:t xml:space="preserve">Мы ознакомлены со всеми материалами конкурсной документации, влияющими на стоимость внедрения, миграции, технической поддержки и сопровождения Программного Комплекса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3. Настоящим Конкурсным предложением подтверждаем, что __________________________ (указать наименование компании Участника) обладает гражданской правоспособностью в полном объёме для заключения и исполнения договора _______________________________________,</w:t>
      </w:r>
      <w:r w:rsidDel="00000000" w:rsidR="00000000" w:rsidRPr="00000000">
        <w:rPr>
          <w:rtl w:val="0"/>
        </w:rPr>
        <w:t xml:space="preserve"> в отношении Участника не проводится процедура реорганизации, ликвидации или банкротства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, не является юридическим лицом, на имущество которого наложен арест по решению суда, административного органа и (или) экономическая деятельность, которого приостановлена, не имеет за прошедший календарный год задолженности по начисленным налогам, сборам и иным обязательным платежам в бюджеты любого уровня или государственные внебюджетные фонды, размер которой превышает двадцать пять процентов балансовой стоимости активов, определяемой по данным бухгалтерской отчётности за последний завершённый отчётный период, обладает профессиональной компетентностью, финансовыми и трудовыми (кадровыми) ресурсами, оборудованием и другими материальными возможностями, надёжностью, опытом и репутацией, необходимыми для исполнения договора, отсутствуют сведения в реестре недобросовестных поставщиков, имеет срок регистрации в качестве юридического лица (индивидуального предпринимателя) не менее 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лет, обладает опытом выполнения аналогичных поставок, обладает лицензиями и сертификатами, необходимыми для осуществления деятельности организации на территории Республики Узбекистан, отсутствует негативный опыт работы с АКБ «Hamkorbank».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4. Сообщаем о своём согласии на сохранение конфиденциальности любой информации, прямо или косвенно связанной с проводимым конкурсным отбором и которая не была объявлена публичной.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5. Сообщаем, что для оперативного уведомления по вопросам организационного характера и взаимодействия с АКБ «Hamkorbank» уполномочен __________________ (заполняется Участником — указать Ф.И.О. полностью, должность и контактную информацию уполномоченного лица, включая телефон, e-mail).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6. Настоящим подтверждаем готовность принять условия приложения №6 — SLA технической поддержки Программного Комплекса «Исламский Банкинг», изложенные в конкурсной документации.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7. Срок действия настоящего конкурсного предложения составляет 90 (девяносто) календарных дней с даты подачи заявки на участие.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8. </w:t>
      </w:r>
      <w:r w:rsidDel="00000000" w:rsidR="00000000" w:rsidRPr="00000000">
        <w:rPr>
          <w:rtl w:val="0"/>
        </w:rPr>
        <w:t xml:space="preserve">По итогам успешного завершения Фазы 1 (обследование) Исполнитель представляет Заказчику Уточнённую смету и план реализации Фазы 2 в течение 5 (пяти) рабочих дней с даты завершения Фазы 1.</w:t>
      </w:r>
    </w:p>
    <w:p w:rsidR="00000000" w:rsidDel="00000000" w:rsidP="00000000" w:rsidRDefault="00000000" w:rsidRPr="00000000" w14:paraId="00000089">
      <w:pP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Уточнённая смета и план реализации Фазы 2 должны содержать уточнённую стоимость Фазы 2 с обоснованием изменений, если такие изменения имеются, относительно настоящего конкурсного предложения, а также уточнённый срок реализации Фазы 2 с учётом ограничения общего срока проекта 13,5 месяцев.</w:t>
      </w:r>
    </w:p>
    <w:p w:rsidR="00000000" w:rsidDel="00000000" w:rsidP="00000000" w:rsidRDefault="00000000" w:rsidRPr="00000000" w14:paraId="0000008A">
      <w:pP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Уточнённая смета и план реализации Фазы 2 должны иметь срок действия не менее 30 (тридцати) календарных дней с даты их предоставления Заказчику. Порядок рассмотрения, согласования и применения Уточнённой сметы и плана реализации Фазы 2 определяется Техническим заданием и настоящей конкурсной документацией.</w:t>
        <w:br w:type="textWrapping"/>
        <w:br w:type="textWrapping"/>
        <w:t xml:space="preserve">Уточнённый план реализации Фазы 2 должен содержать график платежей, построенный по контрольным точкам и результатам этапов / итераций, с проведением оплаты после подписания соответствующих актов приёмки и верификации результатов ИТ-блоком и Службой исламского финансирования Банка.</w:t>
      </w:r>
    </w:p>
    <w:p w:rsidR="00000000" w:rsidDel="00000000" w:rsidP="00000000" w:rsidRDefault="00000000" w:rsidRPr="00000000" w14:paraId="0000008B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Дополнительно к конкурсному предложению предоставляем информацию: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80" w:before="80" w:line="300" w:lineRule="auto"/>
        <w:jc w:val="both"/>
        <w:rPr/>
      </w:pPr>
      <w:r w:rsidDel="00000000" w:rsidR="00000000" w:rsidRPr="00000000">
        <w:rPr>
          <w:rtl w:val="0"/>
        </w:rPr>
        <w:t xml:space="preserve">Ставки человеко-часа и стоимость типовой команды. Ставки специалистов по грейдам (Junior / Middle / Senior), стоимость типовой команды Фазы 2 (Реализация) и типовой команды Фазы 1 (Обследование) заполняются Участником по стандартной форме — лист „Ставки и типовая команда“ Приложения № 1 к Конкурсному предложению. Перечень ролей, фиксированный состав типовых команд Фазы 1 и Фазы 2 и порядок расчёта (часы × ставки, месячная стоимость) установлены указанной формой и являются обязательными к заполнению.</w:t>
      </w:r>
    </w:p>
    <w:p w:rsidR="00000000" w:rsidDel="00000000" w:rsidP="00000000" w:rsidRDefault="00000000" w:rsidRPr="00000000" w14:paraId="0000008E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before="3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                       _______________                  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(должность)                                           (подпись)                                             (Ф.И.О.)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м.п.                                                                                                                              Дата: ___.___.______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qHv3kbVex0NaK+W51T3LuZUV2Q==">CgMxLjAaHQoBMBIYChYIB0ISEhBBcmlhbCBVbmljb2RlIE1TOAByITFzc2JubHFucWR6ZHpHMkRZMGE5a19iZlppUDdrWHc5QQ==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