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Приложение №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righ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к Конкурсной документации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before="20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864"/>
          <w:sz w:val="22"/>
          <w:szCs w:val="22"/>
          <w:rtl w:val="0"/>
        </w:rPr>
        <w:t xml:space="preserve">Критерии целевой архитектуры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8"/>
          <w:szCs w:val="28"/>
          <w:rtl w:val="0"/>
        </w:rPr>
        <w:t xml:space="preserve">для Программного Комплекса «Исламский Банкинг»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4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АКБ «Hamkorbank»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1. Общие положения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Настоящий документ устанавливает требования к архитектуре программного обеспечения для Программного Комплекса «Исламский Банкинг» (далее — «Система», «Решение») в рамках конкурсного отбора на выбор поставщика. Архитектурный подход должен обеспечивать гибкость, масштабируемость, отказоустойчивость и независимое развертывание компонентов Системы при соблюдении принципов исламского финансирования (Шариата).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before="80" w:line="3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Система реализуется как автономный программный комплекс, изолированный от основной банковской системы (IABS) на уровне данных и денежных потоков, и интегрируемый с существующим ИТ-ландшафтом Банка (BANK ESB, API Gateway, RSBANK, FIDO ESB, External Integrations,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аналитический контур / хранилище данных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) через регламентированные интеграционные интерфейсы. Требования настоящего документа обязательны и применяются на всех этапах жизненного цикла Системы: проектирование, разработка, развертывание, эксплуатация, сопровождение.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80" w:line="3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Микросервисная архитектура (МСА) рассматривается Заказчиком как предпочтительная целевая архитектура и описана в настоящем Приложении как ориентир. При этом обязательное соответствие Решения МСА не устанавливается — допускаются Решения с модульной монолитной или гибридной архитектурой при условии достижения изложенных в настоящем документе принципов модульности, изоляции данных, независимого развития подсистем, наблюдаемости и надёжности.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before="80" w:line="3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Степень соответствия Решения требованиям настоящего Приложения учитывается Заказчиком при оценке Конкурсных предложений. При оценке архитектурного решения преимущество получает не конкретный тип архитектуры сам по себе, а подтверждённое соответствие Решения требованиям модульности, масштабируемости, отказоустойчивости, наблюдаемости, безопасности, интегрируемости, сопровождаемости и промышленной эксплуатации. Допускаются микросервисная, модульная монолитная или гибридная архитектура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при условии соответствия требованиям настоящего документа и требованиям конкурсной документации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2. Применимые архитектурные принципы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2.1. Доменно-ориентированное проектирование (DDD)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Архитектура Решения должна строиться по принципу Domain-Driven Design. Каждый продуктовый домен исламского финансирования выделяется в самостоятельный ограниченный контекст (Bounded Context) с независимой моделью данных, доменной логикой и API.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Минимальный обязательный перечень продуктовых доменов: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144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Мурабаха (Murabaha) — продажа с раскрытой наценкой;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144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Иджара (Ijara) — операционная аренда и аренда с последующим выкупом (Ijara wa Iqtina);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144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Мудараба (Mudaraba) — доверительное управление капиталом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-1992140438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Каждый продуктовый домен, компонент, модуль, сервис или подсистема должен инкапсулировать жизненный цикл соответствующего договора: оформление → одобрение → активация → обслуживание (платежи, изменения) → закрытие / досрочное завершение.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Кросс-доменные операции (например, единый кабинет клиента или сводная отчётность по портфелю) реализуются через композиционные сервисы (BFF / Composition Layer), а не через прямое обращение к чужим базам данных.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spacing w:after="160" w:before="2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864"/>
          <w:sz w:val="22"/>
          <w:szCs w:val="22"/>
          <w:rtl w:val="0"/>
        </w:rPr>
        <w:t xml:space="preserve">2.2. Управление данными подсистем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Доменные подсистемы Решения должны обеспечивать изоляцию данных в границах своего Bounded Context. Способ реализации изоляции зависит от выбранной архитектуры: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микросервисной архитектуре — каждый микросервис владеет собственным хранилищем данных; прямой доступ к данным другого микросервиса (cross-service SQL, shared schema) не допускается; обмен данными — только через API. При модульной монолитной или гибридной архитектуре допустимо использование общей СУБД с разделением на изолированные схемы / namespace / Bounded Context, с запретом cross-domain SQL-запросов и явной ответственностью за схемы со стороны соответствующих подсистем.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Допустимо использование разных СУБД (polyglot persistence) — реляционных для финансовых операций (Oracle, PostgreSQL), документных или KV — для конфигурационных данных, поисковых индексов — при наличии обоснования, согласованного с Офисом архитекторов Банка. Изменения схем данных проводятся через автоматизированные миграции (Flyway, Liquibase или эквивалент) и должны быть обратно совместимыми в пределах мажорной версии API.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2.3. Stateless-сервисы и управление состоянием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Прикладные компоненты, модули, сервисы или подсистемы Решения должны быть спроектированы таким образом, чтобы обеспечивать масштабируемость, отказоустойчивость и восстановление без потери бизнес-состояния. При микросервисной архитектуре прикладные сервисы должны быть stateless, а состояние должно выноситься во внешние хранилища (БД, кэш, очереди). При модульной монолитной или гибридной архитектуре допускается иной способ управления состоянием при условии обеспечения масштабируемости, отказоустойчивости, корректного восстановления и отсутствия хранения критичного бизнес-состояния только в памяти приложения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Долгоиграющие бизнес-процессы (например, многошаговое одобрение договора Мурабаха) реализуются как явные саги/workflow (state machine, BPMN-движок или эквивалент), а не как состояние в памяти приложения.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after="200" w:befor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864"/>
          <w:sz w:val="22"/>
          <w:szCs w:val="22"/>
          <w:rtl w:val="0"/>
        </w:rPr>
        <w:t xml:space="preserve">3. Общие требования к архитектуре Решения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3.1. Модульность и независимость компонентов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должно состоять из логически независимых компонентов, модулей, сервисов или подсистем, каждый из которых отвечает за определённую бизнес-функцию или продуктовый домен. Конкретный архитектурный подход — микросервисный, модульный монолитный или гибридный — определяется Исполнителем при условии соблюдения требований модульности, изоляции данных, масштабируемости, отказоустойчивости, наблюдаемости, безопасности, интегрируемости и сопровождаемости.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Изменения и обновления одного компонента, модуля, сервиса или подсистемы не должны нарушать работоспособность других компонентов Системы. Возможность независимого или минимально связанного релиза отдельных компонентов, модулей, сервисов или подсистем должна обеспечиваться в соответствии с выбранной архитектурой Решения.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Связанность через API; разделение по командам разработки соответствует разделению по сервисам (Conway's Law).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3.2. API-контракты, версионирование, контрактное тестирование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межсервисные взаимодействия осуществляются через формально описанные контракты: REST (OpenAPI 3.x) или асинхронные сообщения (AsyncAPI). Допустим gRPC для высоконагруженных внутренних взаимодействий.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Версионирование API: семантическое (semver) или мажорное в URL (/v1/, /v2/). Обратная несовместимость в пределах мажорной версии запрещена.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Должно быть реализовано контрактное тестирование (Pact / Spring Cloud Contract / эквивалент) в CI-пайплайнах потребителей и поставщиков API.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Изменения API сопровождаются обновлением документации в публикуемом портале (Developer Portal) с примерами запросов/ответов.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3.3. Масштабируемость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Система должна поддерживать масштабирование отдельных компонентов, модулей, сервисов или подсистем в зависимости от нагрузки и в соответствии с выбранной архитектурой Решения. При микросервисной архитектуре должно поддерживаться горизонтальное масштабирование отдельных микросервисов; при модульной монолитной или гибридной архитектуре должны быть предусмотрены эквивалентные механизмы масштабирования, обеспечивающие требуемую производительность и отказоустойчивость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Автоматическое масштабирование Решения должно поддерживаться средствами выбранной платформы развёртывания (например, Kubernetes Horizontal Pod Autoscaler / HPA, либо эквивалентные средства иной платформы оркестрации, либо автоматизированные процедуры масштабирования при традиционном развёртывании на ВМ). Пороги масштабирования настраиваются на основе метрик CPU, memory, частоты запросов или специализированных бизнес-метрик.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Архитектура должна позволять добавлять новые исламские продукты и увеличивать объёмы транзакций без полной перестройки Системы (соответствующий пункт ТЗ).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3.4. Контейнеризация и оркестрация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Рекомендуется упаковка компонентов Решения в OCI-совместимые контейнеры (Docker) и развёртывание в кластере оркестрации контейнеров (Kubernetes, OpenShift, Rancher либо эквивалент). Контейнеризация и оркестрация являются предпочтительными — но при модульной монолитной архитектуре Решения допустимо традиционное развёртывание на виртуальных машинах с обеспечением изоляции компонентов средствами ОС, СУБД и сервера приложений. Конкретный способ развёртывания согласуется с Заказчиком на Фазе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Описание развёртывания — декларативное (Helm charts, Kustomize, GitOps-инструменты: ArgoCD / Flux).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Образы должны храниться во внутреннем registry Банка, проходить сканирование уязвимостей (Trivy / Clair / эквивалент) перед публикацией, подписываться (cosign или эквивалент).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3.5. CI/CD и инфраструктура как код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Обязательное наличие CI/CD пайплайнов для автоматизированной сборки, тестирования и развёртывания компонентов, модулей, сервисов или иных поставляемых частей Программного Комплекса в соответствии с выбранной архитектурой Решения.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Поддержка стратегий развертывания: blue/green, canary, rolling update. Откат на предыдущую версию должен выполняться автоматически при критических ошибках и за время не более 5 минут.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Инфраструктура и конфигурации описываются как код (Terraform / Pulumi / Ansible или эквивалент), версионируются и проходят review.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Окружения dev / test / stage / prod изолированы; продакшен-окружение недоступно для прямой ручной модификации (изменения только через CI/CD пайплайн).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spacing w:after="200" w:before="36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864"/>
          <w:sz w:val="22"/>
          <w:szCs w:val="22"/>
          <w:rtl w:val="0"/>
        </w:rPr>
        <w:t xml:space="preserve">4. Шариатская валидация (Sharia Compliance)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80" w:before="80" w:line="30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color w:val="000000"/>
          <w:sz w:val="22"/>
          <w:szCs w:val="22"/>
          <w:rtl w:val="0"/>
        </w:rPr>
        <w:t xml:space="preserve">Функция шариатской валидации является критической особенностью Решения и обязательным функциональным элементом. Все операции исламского финансирования должны проходить через функцию шариатской валидации до их фиксации в учётной системе. Способ реализации функции (выделенный сервис либо встроенный модуль) определяется Исполнителем в соответствии с архитектурой предлагаемого Решения.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2"/>
        <w:spacing w:after="160" w:before="2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864"/>
          <w:sz w:val="22"/>
          <w:szCs w:val="22"/>
          <w:rtl w:val="0"/>
        </w:rPr>
        <w:t xml:space="preserve">4.1. Реализация функции шариатской валидации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должно реализовывать централизованную, конфигурируемую и аудируемую функцию шариатской валидации операций исламского финансирования на соответствие принципам Шариата: запрет Риба (ростовщичество, начисление процентов), Гарар (чрезмерная неопределённость условий), Майсир (азартные и спекулятивные операции). Функция может быть реализована одним из следующих способов на выбор Исполнителя: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Выделенный сервис (микросервис, отдельный компонент) — типовой подход при микросервисной архитектуре. Все операции продуктовых модулей синхронно вызывают сервис для валидации.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Встроенный модуль (Sharia Engine, Sharia Compliance Module) в составе монолитного или модульно-монолитного Решения — все операции продуктовых модулей вызывают единую внутреннюю функцию валидации, реализованную как централизованный модуль с единым набором правил и единой точкой управления.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-1886072817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Любая операция создания, изменения или активации исламского договора, а также любая финансовая транзакция в рамках продуктовых доменов должна синхронно валидироваться функцией шариатской валидации до коммита транзакции. Операции, не прошедшие валидацию, отклоняются с указанием причины. Время отклика синхронного вызова шариатской валидации — P95 ≤ 200 мс, P99 ≤ 500 мс (см. также Приложение № 6 — SLA).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4.2. Конфигурируемость шариатских правил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Правила шариатской валидации должны быть конфигурируемыми без релиза кода. Допустимые подходы: rule engine (Drools / OpenL Tablets / эквивалент), DSL с deploy через CI, конфигурации в БД с UI для администрирования.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Правила версионируются; изменение правил проходит через workflow согласования с Комитетом по Шариату / Экспертным советом Банка с обязательным электронным подтверждением.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Изменения вступают в силу с указанной даты; ретроспективное действие правил запрещено.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4.3. Шариатский аудит и журналирование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вызовы функции шариатской валидации должны журналироваться с сохранением: контекста запроса, версии применённых правил, результата валидации, идентификатора пользователя или сервиса. Срок хранения — не менее срока хранения первичных учётных документов согласно требованиям ЦБ РУз.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Журнал шариатской валидации должен быть защищён от модификации (append-only, WORM-хранилище или электронная подпись блоков).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должно предоставлять отчёты для Шариатского аудита: реестр одобренных продуктов и шаблонов договоров, реестр отклонённых операций по причинам несоответствия, прослеживаемость от операции к версии правил.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4.4. Workflow согласования продуктов и договоров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-125758518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Решение должно поддерживать процесс утверждения продуктов и типовых договоров Комитетом по Шариату: подача на рассмотрение → коллегиальное голосование → фиксация решения с электронной подписью членов Комитета → активация продукта/шаблона.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утверждённые Комитетом продукты и шаблоны договоров не могут быть использованы в продуктивной эксплуатации.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5. Интеграция с существующим ИТ-ландшафтом Банка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Решение интегрируется с существующим ИТ-ландшафтом АКБ «Hamkorbank». Программный Комплекс «Исламский Банкинг» представляет собой самостоятельный обслуживающий контур (дополнительн</w:t>
      </w:r>
      <w:r w:rsidDel="00000000" w:rsidR="00000000" w:rsidRPr="00000000">
        <w:rPr>
          <w:rtl w:val="0"/>
        </w:rPr>
        <w:t xml:space="preserve">ая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 АБС Банка наряду с IABS и RSBANK), функционально и финансово изолированный от существующих автоматизированных банковских систем. </w:t>
      </w:r>
      <w:r w:rsidDel="00000000" w:rsidR="00000000" w:rsidRPr="00000000">
        <w:rPr>
          <w:rtl w:val="0"/>
        </w:rPr>
        <w:t xml:space="preserve">Решение размещается в архитектурном слое Core Banking, имеет собственную доменную модель, собственный план счетов и собственный API Gateway / интеграционный слой Программного Комплекса исламского банкинга; привязка к IABS — General Ledger осуществляется через выделенный «Отдельный филиал»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. Денежные потоки между традиционным и исламским контурами осуществляются исключительно через корреспондентские счета исламского подразделения.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5.1. Интеграционные шины и каналы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160"/>
        <w:tblGridChange w:id="0">
          <w:tblGrid>
            <w:gridCol w:w="2200"/>
            <w:gridCol w:w="716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Канал / шина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1f3864" w:val="clear"/>
            <w:tcMar>
              <w:top w:w="100.0" w:type="dxa"/>
              <w:left w:w="120.0" w:type="dxa"/>
              <w:bottom w:w="10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Назначение и требования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BANK ESB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Основная корпоративная сервисная шина Банка. Используется для синхронных и асинхронных взаимодействий с RSBANK, прочими подсистемами Core Banking. Решение должно поддерживать публикацию и потребление сервисов через BANK ESB с использованием стандартов SOAP/REST/JMS/Kafka в соответствии с регламентом Банка.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API Gateway / Integration Layer Islamic Banking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Выделенный API Gateway / интеграционный слой для компонентов Программного Комплекса исламского банкинга, обеспечивающий маршрутизацию, аутентификацию, rate limiting, логирование и наблюдаемость для каналов (Mobile B2C/B2B, Internet Banking B2B, АРМ для отделений). Решение должно поддерживать развёртывание собственного экземпляра API Gateway или интеграцию с существующим стеком Банка.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FIDO ESB / ABS API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Интерфейс взаимодействия с IABS. Используется для получения справочной информации (клиенты, курсы валют, организационная структура) и передачи консолидированных данных. Прямой обмен финансовыми проводками с IABS запрещён (см. п. 5.2).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Kafka / CDC / Batch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Каналы выгрузки данных в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аналитический контур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 / хранилище данных и Data Marts. Решение должно публиковать события через Kafka и поддерживать CDC (Debezium или эквивалент) для аналитического контура.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shd w:fill="f2f2f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Open API / Внешние системы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1"/>
                <w:szCs w:val="21"/>
                <w:rtl w:val="0"/>
              </w:rPr>
              <w:t xml:space="preserve">Интеграция с MyID, HUMO, UZCARD, INPS, Central Bank, UZAsbo, ASOKI, Play Mobile, TezBank — через существующие интеграционные интерфейсы Банка.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5.2. Интеграция с IABS и General Ledger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tl w:val="0"/>
        </w:rPr>
        <w:t xml:space="preserve">Учёт операций исламского финансирования ведётся на отдельном плане счетов, соответствующем исламским принципам учёта (соответствующий пункт ТЗ).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2098883891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Привязка к Главной книге Банка осуществляется через выделенный «Отдельный филиал» в IABS — General Ledger. Передача данных в General Ledger — однонаправленная (Islamic Bank → IABS), регламентированная по составу, частоте и формату.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Прямой обмен финансовыми проводками клиентских счетов исламских продуктов с IABS запрещён. Денежные потоки между контурами осуществляются через корреспондентские счета исламского подразделения.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должно обеспечивать сверку (reconciliation) с IABS — General Ledger с обнаружением и нотификацией расхождений; ожидаемый интервал сверки — не реже одного раза в операционный день.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5.3. Паттерны интеграции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Anti-Corruption Layer (ACL): все обращения к внешним системам Банка (IABS, RSBANK, External Integrations) выполняются через выделенные адаптеры, которые транслируют внешние модели данных во внутреннюю доменную модель исламского контура. Прямые зависимости внутренних доменов от внешних схем запрещены.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Outbox Pattern: публикация событий во внешние системы и БД-коммит выполняются в одной транзакции через таблицу outbox; асинхронный publisher гарантирует доставку (at-least-once).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Saga / Orchestration: длительные распределённые транзакции (например, оформление договора Мурабаха с одновременной покупкой актива и созданием графика платежей) реализуются через явные саги с компенсирующими действиями.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Идемпотентность: все межсервисные запросы, изменяющие состояние, должны поддерживать идемпотентность по ключу (Idempotency-Key или эквивалент).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Eventual consistency: для кросс-доменных операций допустима согласованность в конечном счёте; уровни согласованности должны быть документированы по каждому интеграционному сценарию.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Распределение ответственности по интеграции. Исполнитель обеспечивает интеграцию Программного Комплекса с действующим ИТ-ландшафтом Банка в части компонентов Программного Комплекса, API, интеграционных интерфейсов, адаптеров, спецификаций, настройки обмена данными и поддержки интеграционного тестирования. Существующие клиентские каналы Банка (Hamkor Mobile 3.0, ДБО ЮЛ, Internet Banking) интегрируются с Программным Комплексом без включения в объём работ Исполнителя разработки собственных клиентских мобильных приложений и клиентских веб-интерфейсов Банка.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6. Безопасность и авторизация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6.1. Аутентификация и авторизация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Аутентификация пользователей — через единую систему Банка (MyID или эквивалент) с поддержкой OAuth 2.0 / OpenID Connect.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Авторизация — централизованная, по модели RBAC / ABAC. Полномочия определяются политиками безопасности, версионируются и проходят аудит изменений.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Межсервисная аутентификация — через mTLS и/или сервисные JWT-токены с коротким сроком жизни. Долгоживущие пароли и API-ключи в межсервисном взаимодействии запрещены.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Поддержка многофакторной аутентификации (MFA) для административных функций и операций повышенного риска.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6.2. Изоляция сервисов и Zero Trust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компонентов Решения применяются политики сетевой сегментации и контроля доступа (NetworkPolicy в Kubernetes, сетевые ACL на уровне инфраструктуры, либо иные эквивалентные средства), ограничивающие сетевой доступ только к разрешённым адресатам.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Доступ к внутренним API ограничен; внутренние API не публикуются через внешний API Gateway.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Реализуется принцип Zero Trust: ни одна внутренняя сеть не считается доверенной по умолчанию; каждый запрос аутентифицируется и авторизуется.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6.3. Управление секретами и криптография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Хранение секретов (паролей БД, ключей шифрования, API-ключей) — в специализированном Secrets Manager (HashiCorp Vault / Kubernetes Sealed Secrets / эквивалент). Хранение секретов в открытом виде в коде, в репозиториях, в переменных окружения образов запрещено.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Чувствительные данные шифруются в покое (encryption at rest) и при передаче (TLS 1.2+).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Должна поддерживаться ротация ключей шифрования без простоя Системы.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6.4. Аудит и соответствие требованиям ЦБ РУз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действия пользователей и сервисов, изменяющие состояние, журналируются с фиксацией: кто, что, когда, откуда, результат.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Журнал аудита защищён от модификации, имеет настраиваемый срок хранения, поддерживает выгрузку для регуляторных проверок.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должно соответствовать требованиям ЦБ РУз по информационной безопасности и внутренним политикам Банка.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7. Мониторинг, логирование и наблюдаемость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7.1. Централизованный сбор логов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Система должна собирать логи всех компонентов Решения в централизованное хранилище (ELK / Loki / Splunk / эквивалент).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Формат логов — структурированный (JSON) с обязательными полями: timestamp, service, level, trace_id, span_id, user/principal, корреляционный идентификатор бизнес-операции.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Уровень логирования настраивается без перезапуска сервиса (динамическая конфигурация).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Чувствительные данные (персональные данные клиентов, реквизиты счетов, ключи) в логах должны маскироваться.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7.2. Метрики и мониторинг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Сбор метрик — Prometheus или совместимый формат. Дашборды — Grafana или эквивалент.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Обязательные группы метрик: RED (Rate, Errors, Duration) на API-уровне; USE (Utilization, Saturation, Errors) на инфраструктурном уровне; бизнес-метрики (количество оформленных договоров по продуктам, объёмы операций).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Должны быть определены SLI (Service Level Indicators) и SLO (Service Level Objectives) по каждому критичному сценарию; нарушение SLO инициирует автоматические нотификации.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7.3. Распределённая трассировка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Обязательная поддержка распределённой трассировки по стандарту OpenTelemetry (W3C Trace Context). Trace-id пробрасывается через все вызовы между компонентами Решения, включая прохождение через BANK ESB и API Gateway.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Хранение трейсов — Jaeger / Tempo / Zipkin / эквивалент; срок хранения — не менее 14 суток в hot-storage и не менее 90 суток в cold-storage.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7.4. Health checks и self-healing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Каждый компонент Решения предоставляет эндпоинты liveness и readiness probes, используемые системой оркестрации (Kubernetes либо эквивалент) или системой мониторинга Банка для отслеживания состояния и управления жизненным циклом.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 check включает проверку доступности критичных зависимостей (БД, шины сообщений, внешние сервисы).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Нотификации об отказах направляются в систему оповещения дежурной смены (Alertmanager / Opsgenie / PagerDuty / эквивалент).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8. Отказоустойчивость и надёжность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8.1. High Availability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разворачивается в режиме High Availability с резервированием на уровне нод, зон доступности и (для критичных компонентов) на уровне дата-центров.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Целевой уровень доступности продуктивной Системы — не менее 99.9% (исключая плановые работы), что соответствует НФТ проекта.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Отсутствие точек единичного отказа (Single Point of Failure) в критичных компонентах.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8.2. Disaster Recovery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Решение должно поддерживать развёртывание в двух дата-центрах Банка (active-active или active-passive — на усмотрение вендора с обоснованием).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sdt>
        <w:sdtPr>
          <w:id w:val="-32547626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Целевые показатели восстановления: RPO ≤ 15 минут для финансовых данных; RTO ≤ 1 час для критичных сервисов.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Должны быть документированы и протестированы процедуры переключения на резервный ДЦ и обратного переключения; учебные переключения проводятся не реже одного раза в год.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8.3. Развёртывание без простоя и откаты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Поддержка развёртывания новых версий компонентов, модулей, сервисов или иных поставляемых частей Программного Комплекса без остановки Системы либо с минимальным согласованным окном технологического обслуживания (rolling update, blue/green, canary).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Реализация автоматического отката версии при обнаружении критических ошибок (рост 5xx, нарушение SLO, провал health checks).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Совместимость версий в окне миграции: версии N и N+1 должны быть взаимно совместимы по контрактам API в течение периода выкатки.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8.4. Балансировка нагрузки и устойчивость к каскадным отказам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Автоматическая балансировка нагрузки между экземплярами компонентов Решения (средствами выбранной платформы развёртывания — Kubernetes Service, Istio, либо традиционными балансировщиками нагрузки).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Применение распределённых кэшей (Redis / Hazelcast / эквивалент) и очередей сообщений (Kafka / RabbitMQ / эквивалент).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Реализация паттернов устойчивости: Circuit Breaker, Bulkhead, Retry с экспоненциальным backoff, Timeout, Rate Limiting.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Graceful degradation: при недоступности некритичных подсистем (например, рекомендательного сервиса) основной функционал должен оставаться доступным.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2"/>
        <w:spacing w:after="16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8.5. Автоматическое восстановление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 отказе экземпляра компонента Решения система должна автоматически восстанавливать его в течение не более 30 секунд (средствами оркестратора, supervisor-процесса либо иных автоматических средств резервирования в зависимости от выбранного способа развёртывания).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Все критичные компоненты Решения развёртываются с заданными параметрами отказоустойчивости (replicas, PodDisruptionBudget, anti-affinity — для контейнеризированных развёртываний; либо эквивалентные средства резервирования и распределения нагрузки при иных способах развёртывания).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1"/>
        <w:spacing w:after="200" w:before="3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32"/>
          <w:szCs w:val="32"/>
          <w:rtl w:val="0"/>
        </w:rPr>
        <w:t xml:space="preserve">9. Инфраструктура и сайзинг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8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Участник должен предоставить инфраструктурный сайзинг, технические требования и параметры инфраструктуры, необходимые для промышленной эксплуатации Решения, включая требования к вычислительным ресурсам, хранилищам данных, сетевой инфраструктуре, резервированию, отказоустойчивости, мониторингу, журналированию, средам разработки, тестирования и промышленной эксплуатации. Предоставленный сайзинг используется Заказчиком для самостоятельного определения расчётной стоимости инфраструктуры. Такая стоимость учитывается в TCO исключительно для целей оценки и сопоставления конкурсных предложений. Участник не указывает коммерческую стоимость инфраструктуры как собственную цену Участника.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80" w:before="8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before="3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     ___________    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       (должность)                          (подпись)                            (Ф.И.О.)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100" w:lineRule="auto"/>
        <w:jc w:val="left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м.п.                                                                                              Дата: ___.___.______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Unicode MS"/>
  <w:font w:name="Gungsuh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◦"/>
      <w:lvlJc w:val="left"/>
      <w:pPr>
        <w:ind w:left="1440" w:hanging="36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1f3864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0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2e74b5"/>
      <w:sz w:val="23"/>
      <w:szCs w:val="23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b1JXwJGoyZf+b63BFlHh5pf3Q==">CgMxLjAaJAoBMBIfCh0IB0IZCgVBcmltbxIQQXJpYWwgVW5pY29kZSBNUxolCgExEiAKHggHQhoKD1RpbWVzIE5ldyBSb21hbhIHR3VuZ3N1aBokCgEyEh8KHQgHQhkKBUFyaWFsEhBBcmlhbCBVbmljb2RlIE1TGiQKATMSHwodCAdCGQoFQXJpYWwSEEFyaWFsIFVuaWNvZGUgTVMaJAoBNBIfCh0IB0IZCgVBcmlhbBIQQXJpYWwgVW5pY29kZSBNUzgAciExX2xhMmR4THBKd0JvQXNNT25tMDkzd2J5eVk2ekFNa2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