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Rule="auto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Приложение №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к Конкурсной документации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before="20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Соглашение об уровне предоставляемых услуг (SLA)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технической поддержки Программного Комплекса «Исламский Банкинг»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40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АКБ «Hamkorbank»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1. Назначение и область применения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Настоящий документ устанавливает требования к уровню технической поддержки (SLA) Программного Комплекса «Исламский Банкинг» (далее — «Система», «ПК ИБ») в рамках конкурсного отбора и оказания технической поддержки и сопровождения в составе Договора № 2 с АКБ «Hamkorbank» (далее — «Заказчик», «Банк»). SLA регламентирует: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порядок предоставления услуг технической поддержки;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уровни критичности инцидентов и целевые сроки реагирования и восстановления;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показатели доступности и качества Системы;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обязанности и ответственность сторон;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порядок учёта и расчёта простоев, штрафных санкций и сервисных кредитов.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Настоящее SLA распространяется на промышленную (Production) среду, а также определяет применимые требования к предпромышленным средам (Pre-Production, Test, Development). Дифференциация по средам приведена в Разделе 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2. Термины и определения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6360"/>
        <w:tblGridChange w:id="0">
          <w:tblGrid>
            <w:gridCol w:w="3000"/>
            <w:gridCol w:w="63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Термин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Определение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Система / ПК ИБ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Программный Комплекс исламского банкинга, поставляемый, внедряемый и сопровождаемый Исполнителем, включая его серверные компоненты, модули, сервисы, интеграционные интерфейсы, API, адаптеры, базы данных, настройки, журналы, средства мониторинга и иные компоненты, входящие в объём ответственности Исполнителя. Существующие клиентские каналы Банка, включая Hamkor Mobile 3.0, ДБО ЮЛ и Internet Banking, не являются компонентами Системы, поставляемыми Исполнителем, за исключением интеграционных интерфейсов, API, адаптеров и иных компонентов Программного Комплекса, через которые обеспечивается взаимодействие с такими каналами.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Исполнитель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Поставщик услуг технической поддержки Системы по договору с Банком.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Заказчик / Банк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АКБ «Hamkorbank».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Инцидент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Любое событие, нарушающее нормальную работу Системы или ухудшающее качество предоставляемых ею услуг, включая полную и частичную недоступность, деградацию производительности, функциональные ошибки и нарушения безопасности.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Проблема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Неизвестная причина одного или нескольких инцидентов, требующая отдельного расследования и устранения.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Время реакции (Time-to-Acknowledge, TTA)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Промежуток времени с момента регистрации заявки в системе тикетов до момента подтверждения её принятия в работу ответственным специалистом Исполнителя.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Время до обходного решения (Time-to-Workaround, TTW)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Промежуток времени с момента регистрации инцидента до момента восстановления критичного бизнес-функционала с помощью временного решения, даже если первопричина не устранена.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Время восстановления (Time-to-Resolve, TTR)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Промежуток времени с момента регистрации инцидента до его полного устранения с подтверждением Заказчиком закрытия.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Доступность (Availability)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Отношение времени, в течение которого Система функционирует в соответствии с её функциональными и нефункциональными требованиями, к общему календарному времени за вычетом согласованных Maintenance Window. Выражается в процентах за календарный месяц.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Maintenance Window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Согласованное между Сторонами окно времени для проведения плановых работ. Время, попадающее в Maintenance Window, не учитывается при расчёте доступности.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RCA (Root Cause Analysis)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Анализ первопричины инцидента, выявляющий технические, процессные и организационные факторы возникновения, с описанием мер по предотвращению повторения.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Компонент шариатской валидации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Компонент / модуль / сервис шариатской валидации — функциональный компонент Программного Комплекса, обеспечивающий проверку операций, продуктов, договоров, расчётов и иных объектов на соответствие заданным правилам исламского банкинга и шариатским требованиям, независимо от выбранного архитектурного подхода реализации.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SLA Credits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Механизм компенсации Заказчику за нарушение SLA в виде уменьшения стоимости услуг сопровождения в следующем расчётном периоде или дополнительных часов работ.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MTTR (Mean Time To Restore)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Среднее время восстановления по всем инцидентам определённой критичности за период.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FTFR (First Time Fix Rate)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Доля инцидентов, устранённых с первого обращения, без повторного открытия.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3. Уровни критичности инцидентов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Применяется четырёхуровневая шкала критичности. Уровень присваивается Исполнителем при регистрации инцидента на основании критериев, приведённых ниже. Заказчик имеет право повысить уровень критичности в течение 1 часа после регистрации с обязательным обоснованием. Понижение уровня критичности возможно только по согласованию с Заказчиком.</w:t>
      </w: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0"/>
        <w:gridCol w:w="4500"/>
        <w:gridCol w:w="1300"/>
        <w:gridCol w:w="1300"/>
        <w:gridCol w:w="1160"/>
        <w:tblGridChange w:id="0">
          <w:tblGrid>
            <w:gridCol w:w="1100"/>
            <w:gridCol w:w="4500"/>
            <w:gridCol w:w="1300"/>
            <w:gridCol w:w="1300"/>
            <w:gridCol w:w="11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Уровень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TTA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TTW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TTR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8cbad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P1Критичный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Полная или массовая недоступность Системы; невозможность исполнения операций исламского финансирования; недоступность функции шариатской валидации; недоступность интеграции с IABS — General Ledger в день закрытия операционного дня; недоступность API, интеграционных интерфейсов, адаптеров или иных компонентов Программного Комплекса, обеспечивающих взаимодействие с клиентскими каналами Банка для клиентов исламского банкинга; нарушение целостности или утрата финансовых данных; инцидент информационной безопасности с подтверждённым воздействием.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15 мин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2 часа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4 часа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e699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P2Высокий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Частичная неработоспособность отдельных продуктовых доменов (например, недоступность оформления Мурабахи при работающих остальных продуктах); деградация производительности с превышением SLA по времени отклика более чем в 2 раза;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недоступность API, интеграционных интерфейсов, адаптеров или иных компонентов Программного Комплекса, обеспечивающих взаимодействие с отдельными клиентскими каналами Банка, если такая недоступность не приводит к полной или массовой недоступности Системы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; недоступность отчётности для Экспертного совета / регуляторных отчётов в плановые сроки; функциональная ошибка, затрагивающая массовые операции, но не приводящая к остановке.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30 мин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4 часа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8 часов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c6efc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P3Средний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Некритические функциональные ошибки, затрагивающие ограниченную группу пользователей или отдельные операции; неверное отображение данных без искажения учётной информации; ошибки UX, не препятствующие выполнению основной задачи.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2 часа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1 раб. день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3 раб. дня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ddebf7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P4Низкий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Косметические дефекты, опечатки в интерфейсе, запросы на консультации, запросы на изменения, не классифицируемые как критичные.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1 раб. день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По согл.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5 раб. дн.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Режимы поддержки по уровням: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P1, P2 — режим 24x7x365, включая выходные и нерабочие праздничные дни Республики Узбекистан, без перерывов.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P3, P4 — режим 8x5 в рабочие дни Республики Узбекистан с 09:00 до 18:00 по местному времени (UTC+5).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Особенности для отдельных подсистем: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Любой инцидент, затрагивающий работу функции шариатской валидации, классифицируется не ниже P1 независимо от прочих обстоятельств.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Инцидент, возникший в окне формирования регуляторной отчётности (ЦБ РУз), а также в день начисления дохода по Мударабе или иных расчётных событиях по продуктам исламского финансирования, повышается на один уровень критичности по решению Заказчика.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Инцидент информационной безопасности с признаками компрометации данных или несанкционированного доступа классифицируется как P1 и эскалируется параллельно в Службу информационной безопасности Банка.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4. SLA по средам и подсистемам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4.1. Дифференциация по средам</w:t>
      </w: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0"/>
        <w:gridCol w:w="1500"/>
        <w:gridCol w:w="1500"/>
        <w:gridCol w:w="1500"/>
        <w:gridCol w:w="3060"/>
        <w:tblGridChange w:id="0">
          <w:tblGrid>
            <w:gridCol w:w="1800"/>
            <w:gridCol w:w="1500"/>
            <w:gridCol w:w="1500"/>
            <w:gridCol w:w="1500"/>
            <w:gridCol w:w="30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Среда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Доступность (мес.)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Режим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Применимость SLA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Примечание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Production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99.9%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24x7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Полный SLA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Включая API, интеграционные интерфейсы, адаптеры и иные компоненты Программного Комплекса, обеспечивающие взаимодействие с мобильными и Internet Banking каналами Банка для клиентов исламского банкинга. Доступность самих клиентских каналов Банка учитывается в SLA Исполнителя только в той части, в которой недоступность вызвана компонентами Программного Комплекса, находящимися в зоне ответственности Исполнителя.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Production — Integration Layer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99.9%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24x7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Полный SLA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rtl w:val="0"/>
              </w:rPr>
              <w:t xml:space="preserve">Адаптеры BANK ESB, FIDO ESB/ABS API, исходящие интеграции.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Pre-Production / Stage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99.0%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8x5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SLA P3/P4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Инциденты P1/P2 — без штрафов, но с обязательным TTR.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Test / Development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95.0%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8x5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Best effort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Штрафы не применяются.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4.2. SLA на отдельные операции</w:t>
      </w: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00"/>
        <w:gridCol w:w="2280"/>
        <w:gridCol w:w="2280"/>
        <w:tblGridChange w:id="0">
          <w:tblGrid>
            <w:gridCol w:w="4800"/>
            <w:gridCol w:w="2280"/>
            <w:gridCol w:w="22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Операция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Целевое значение (P95)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Предельное (P99)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Шариатская валидация операции (синхронный вызов)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200 мс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500 мс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Оформление договора (Мурабаха, Иджара, Мудараба, Мушарака, Салам, Истисна, Вакала) — синхронная часть до подтверждения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3 сек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8 сек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Поиск и получение информации по договору / клиенту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500 мс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1.5 сек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Формирование и отправка проводки в IABS — General Ledger (через «Отдельный филиал»)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5 сек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15 сек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Формирование операционной (внутренней) отчётности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30 сек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2 мин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Формирование регуляторной отчётности (ЦБ РУз)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По регламенту регулятора, не позднее чем за 1 рабочий день до срока сдачи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5. Типы обращений</w:t>
      </w: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0"/>
        <w:gridCol w:w="4200"/>
        <w:gridCol w:w="1700"/>
        <w:gridCol w:w="1660"/>
        <w:tblGridChange w:id="0">
          <w:tblGrid>
            <w:gridCol w:w="1800"/>
            <w:gridCol w:w="4200"/>
            <w:gridCol w:w="1700"/>
            <w:gridCol w:w="16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Тип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Время реакции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Время решения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Инцидент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Отклонение в работе Системы, требующее устранения.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Согласно уровню критичности (Раздел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Согласно уровню критичности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Проблема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Расследование первопричины повторяющихся инцидентов с целью её устранения.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1 рабочий день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По согласованному плану, не более 30 кал. дней с момента регистрации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Запрос на обслуживание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Консультации, выгрузки, помощь в настройке, объяснение поведения.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2 часа в рабочее время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3 рабочих дня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Запрос на изменение (Change Request)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Стандартное или нестандартное изменение конфигурации, бизнес-правила, отчёта.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1 рабочий день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По согласованной оценке трудозатрат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Запрос на доработку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Новая функциональность, реализуемая в рамках отдельного объёма работ.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3 рабочих дня — предварительная оценка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По договору на доработки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Регламентные работы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Плановые работы: установка обновлений, аудит, профилактика.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Уведомление не позднее 24 часа до начала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По согласованному графику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Запрос безопасности (CVE)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Уведомление об обнаруженной уязвимости компонента Системы или зависимостей.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4 часа (24x7) для Critical/High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См. Раздел 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6. Порядок эскалации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Эскалация выполняется в следующих случаях: превышение пороговых временных значений; повышение уровня критичности; отсутствие реакции на запрос Заказчика; повторное возникновение инцидента в течение 7 календарных дней.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6.1. Уровни эскалации Исполнителя</w:t>
      </w: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0"/>
        <w:gridCol w:w="2500"/>
        <w:gridCol w:w="2900"/>
        <w:gridCol w:w="2960"/>
        <w:tblGridChange w:id="0">
          <w:tblGrid>
            <w:gridCol w:w="1000"/>
            <w:gridCol w:w="2500"/>
            <w:gridCol w:w="2900"/>
            <w:gridCol w:w="29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Уровень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Ответственный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Когда эскалируется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Канал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L1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Дежурный специалист первой линии поддержки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Регистрация любого обращения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Система тикетов, телефон горячей линии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L2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Инженер второй линии (профильный)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Если L1 не способен устранить в течение 50% TTR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Тикет + персональные контакты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L3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Руководитель технической поддержки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Превышение 75% TTR для P1/P2, или повторный инцидент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Тикет + телефон + e-mail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L4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Руководство Исполнителя (директор сервиса / СОО)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Превышение TTR для P1, или системный сбой нескольких инцидентов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Все каналы + личная встреча по запросу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6.2. Уровни эскалации Заказчика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L1 — ответственный за инцидент менеджер ИТ-сервиса Заказчика.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L2 — Руководитель проекта «Исламский Банкинг» (Технический лидер от ИТ-блока).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L3 — Куратор от Департамента ИТ корпоративного бизнеса и партнёрства.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L4 — Член Правления Банка, курирующий ИТ.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7. Управление инцидентами и проблемами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7.1. Жизненный цикл инцидента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Регистрация в системе тикетов с указанием признаков, скриншотов, идентификаторов транзакций/запросов, времени возникновения.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Подтверждение приёма в работу с присвоением уровня критичности в пределах TTA.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Диагностика; при необходимости — применение временного решения (workaround) в пределах TTW.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Полное устранение и подтверждение восстановления Заказчиком в пределах TTR.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Закрытие инцидента; перевод в задачу управления проблемой при необходимости расследования первопричины.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7.2. Root Cause Analysis (RCA)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По каждому инциденту уровня P1 Исполнитель предоставляет отчёт RCA в письменной форме в течение 24 часа с момента закрытия инцидента.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По каждому инциденту уровня P2 — в течение 7 календарных дней.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Структура отчёта RCA: хронология; первопричина (5 Whys / Ishikawa); технические факторы; процессные/организационные факторы; немедленные действия; долгосрочные меры по предотвращению повторения; ответственные и сроки.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Отчёт согласовывается с Заказчиком; меры долгосрочного характера включаются в план улучшений с контролем исполнения.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7.3. Управление проблемами (Problem Management)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Повторяющиеся инциденты одной природы (3 и более за 30 календарных дней) автоматически открывают тикет уровня «Проблема».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 каждой Проблеме формируется план расследования и устранения с целевым сроком не более 30 календарных дней.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Проблемы и связанные с ними изменения регулярно обсуждаются на сервисных встречах (Раздел 13).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8. Управление изменениями и релизами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Style w:val="Heading1"/>
        <w:spacing w:after="200" w:before="360" w:lineRule="auto"/>
        <w:rPr/>
      </w:pPr>
      <w:r w:rsidDel="00000000" w:rsidR="00000000" w:rsidRPr="00000000">
        <w:rPr>
          <w:b w:val="0"/>
          <w:bCs w:val="0"/>
          <w:color w:val="000000"/>
          <w:sz w:val="22"/>
          <w:szCs w:val="22"/>
          <w:rtl w:val="0"/>
        </w:rPr>
        <w:t xml:space="preserve">В стоимость технической поддержки, оплачиваемой Заказчиком по договору, включён объём работ Исполнителя по доработке и адаптации Системы по запросу Заказчика в размере 40 (сорока) человеко-часов в месяц. Указанные часы используются для реализации функциональных изменений малого объёма, не требующих архитектурной перестройки (например: новые формы отчётности, новые поля в шаблонах договоров, изменения справочников и параметров шариатских правил, доработки UI/UX, исправления, не относящиеся к инцидентам). Неиспользованные часы на следующий календарный месяц не переносятся. Работы, превышающие включённый объём технической поддержки 40 чел-час / мес, выполняются по отдельному согласованию Сторон и оплачиваются по утверждённым ставкам человеко-часа, указанным в листе «Ставки и типовая команда» Приложения № 1 к Конкурсному предложению.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8.1. Классификация изменений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Стандартные изменения — преодобренные, низкорисковые, выполняются без согласования (например, перезапуск пода, плановое масштабирование).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Нормальные изменения — требуют согласования с CAB (Change Advisory Board) Заказчика; выкатываются в Maintenance Window.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Экстренные изменения (Emergency Change) — для устранения P1/P2 инцидентов или критических уязвимостей; согласуются ускоренно с уполномоченным представителем Заказчика.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8.2. Maintenance Window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Стандартное Maintenance Window: воскресенье, 02:00–06:00 (UTC+5).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Длительность не более 4 часов; в случае необходимости — продление по согласованию.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Уведомление о плановых работах: не позднее 24 часа до начала; для экстренных работ — не позднее 4 часов.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Работы в дни закрытия операционного дня Банка, периоды формирования регуляторной отчётности и в день начисления дохода по Мударабе — запрещены без отдельного согласования с Заказчиком.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Время в согласованном Maintenance Window не учитывается при расчёте доступности.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8.3. Релизный цикл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Обновления выпускаются по утверждённому графику; каждое обновление сопровождается описанием изменений (Release Notes), скриптами миграции и планом отката.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Тестирование на Pre-Production среде обязательно для всех изменений уровня Нормальное и выше.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Развёртывание производится без простоя средствами оркестратора (rolling update, blue/green, canary) согласно Приложению №5.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9. Управление безопасностью и патчинг уязвимостей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Исполнитель обязан проактивно отслеживать публикуемые уязвимости (CVE) компонентов Системы и её зависимостей и устранять их в соответствии с приведёнными ниже сроками. Уровень критичности уязвимости определяется по CVSS v3.1.</w:t>
      </w: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00"/>
        <w:gridCol w:w="1500"/>
        <w:gridCol w:w="2800"/>
        <w:gridCol w:w="3060"/>
        <w:tblGridChange w:id="0">
          <w:tblGrid>
            <w:gridCol w:w="2000"/>
            <w:gridCol w:w="1500"/>
            <w:gridCol w:w="2800"/>
            <w:gridCol w:w="30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Критичность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CVSS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Срок устранения (Production)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Срок устранения (прочие среды)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8cbad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Critical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9.0–10.0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24 часа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24 часа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e699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7.0–8.9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 календарных дней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 календарных дней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c6efc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Medium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4.0–6.9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30 календ. дней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60 календ. дней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ddebf7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0.1–3.9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По согласованию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По согласованию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Исполнитель уведомляет Заказчика об обнаружении уязвимости Critical или High в течение 4 часов с момента публикации CVE или внутреннего обнаружения.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выявлении эксплуатации уязвимости или индикаторов компрометации — немедленная (в течение 1 часа) нотификация Службы информационной безопасности Банка с одновременной мобилизацией Incident Response.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10. Обязанности Исполнителя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Регистрация всех заявок, инцидентов и запросов в согласованной системе управления (ITSM-платформе).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Обеспечение круглосуточной (24x7x365) технической поддержки P1/P2 инцидентов с круглосуточным приёмом заявок.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Соблюдение установленных временных параметров TTA, TTW, TTR по каждому уровню критичности.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Проактивный мониторинг ключевых показателей Системы (доступность, время отклика, ошибки) с нотификацией Заказчика об отклонениях.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Регулярное предоставление отчётности (см. Раздел 13).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Установка обновлений ПО, патчей и устранение уязвимостей в рамках Разделов 8–9.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Проведение аудита технического состояния Системы — не реже одного раза в квартал.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Анализ политик безопасности и предоставление рекомендаций по их оптимизации — не реже двух раз в год.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Подготовка и проведение учебных переключений на резервный ДЦ (DR test) — не реже одного раза в год (см. Раздел 16).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Поддержание актуальной технической документации Системы (архитектура, руководства администратора, операционные регламенты).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Поддержание базы знаний (Knowledge Base) по типовым обращениям; доступ к KB предоставляется Заказчику.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Обучение сотрудников Банка при существенных изменениях Системы (по запросу Заказчика, в объёме до 24 ч/мес. в рамках сопровождения).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11. Обязанности Заказчика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Назначение ответственного сотрудника (Service Manager) для взаимодействия с Исполнителем.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Предоставление Исполнителю удалённого доступа к необходимым средам в рамках политик информационной безопасности Банка.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Своевременное предоставление информации, необходимой для диагностики и устранения инцидентов (логи, дампы, описания шагов воспроизведения).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Своевременное согласование Maintenance Window и плановых работ.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Подтверждение закрытия инцидентов в разумные сроки после устранения.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Участие представителей Банка в сервисных встречах (Раздел 13).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12. Каналы взаимодействия и инструменты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Исполнитель обязан предоставить и поддерживать следующие каналы: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Система тикетов (ITSM) — основной канал регистрации и сопровождения всех обращений; круглосуточный доступ; уведомления по e-mail.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Телефон горячей линии — круглосуточный приём P1/P2 обращений.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Электронная почта поддержки — для нерегламентных уведомлений и подтверждений.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Чат-канал оперативного взаимодействия (Teams / Slack / Telegram — по согласованию).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Статус-страница (Status Page) — публикация текущего статуса Системы и истории инцидентов с автоматическими нотификациями подписчиков.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Конкретные реквизиты каналов фиксируются в Приложении к Договору № 2 и поддерживаются в актуальном состоянии.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13. Контроль качества, KPI и отчётность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13.1. KPI Исполнителя</w:t>
      </w:r>
      <w:r w:rsidDel="00000000" w:rsidR="00000000" w:rsidRPr="00000000">
        <w:rPr>
          <w:rtl w:val="0"/>
        </w:rPr>
      </w:r>
    </w:p>
    <w:tbl>
      <w:tblPr>
        <w:tblStyle w:val="Table8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00"/>
        <w:gridCol w:w="2000"/>
        <w:gridCol w:w="3560"/>
        <w:tblGridChange w:id="0">
          <w:tblGrid>
            <w:gridCol w:w="3800"/>
            <w:gridCol w:w="2000"/>
            <w:gridCol w:w="35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Показатель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Целевое значение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Расчёт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Соблюдение TTA по инцидентам всех уровней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jc w:val="center"/>
              <w:rPr/>
            </w:pPr>
            <w:sdt>
              <w:sdtPr>
                <w:id w:val="-652627215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sz w:val="20"/>
                    <w:szCs w:val="20"/>
                    <w:rtl w:val="0"/>
                  </w:rPr>
                  <w:t xml:space="preserve">≥ 98%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Доля инцидентов с TTA в пределах SLA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Соблюдение TTR по P1/P2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1D">
            <w:pPr>
              <w:jc w:val="center"/>
              <w:rPr/>
            </w:pPr>
            <w:sdt>
              <w:sdtPr>
                <w:id w:val="-1947278712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sz w:val="20"/>
                    <w:szCs w:val="20"/>
                    <w:rtl w:val="0"/>
                  </w:rPr>
                  <w:t xml:space="preserve">≥ 95%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Доля инцидентов P1/P2, устранённых в пределах TTR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First Time Fix Rate (FTFR)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jc w:val="center"/>
              <w:rPr/>
            </w:pPr>
            <w:sdt>
              <w:sdtPr>
                <w:id w:val="-1619877637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sz w:val="20"/>
                    <w:szCs w:val="20"/>
                    <w:rtl w:val="0"/>
                  </w:rPr>
                  <w:t xml:space="preserve">≥ 85%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Доля инцидентов, не открытых повторно в течение 7 дней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Среднее время восстановления (MTTR) для 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jc w:val="center"/>
              <w:rPr/>
            </w:pPr>
            <w:sdt>
              <w:sdtPr>
                <w:id w:val="-533972668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sz w:val="20"/>
                    <w:szCs w:val="20"/>
                    <w:rtl w:val="0"/>
                  </w:rPr>
                  <w:t xml:space="preserve">≤ 3 ч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Среднее по всем P1 инцидентам периода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Доступность Production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26">
            <w:pPr>
              <w:jc w:val="center"/>
              <w:rPr/>
            </w:pPr>
            <w:sdt>
              <w:sdtPr>
                <w:id w:val="1962175076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sz w:val="20"/>
                    <w:szCs w:val="20"/>
                    <w:rtl w:val="0"/>
                  </w:rPr>
                  <w:t xml:space="preserve">≥ 99.9%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См. Раздел 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Соблюдение SLA по устранению уязвимостей Critical/High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100%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См. Раздел 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Customer Satisfaction (CSAT)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2C">
            <w:pPr>
              <w:jc w:val="center"/>
              <w:rPr/>
            </w:pPr>
            <w:sdt>
              <w:sdtPr>
                <w:id w:val="1410717548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sz w:val="20"/>
                    <w:szCs w:val="20"/>
                    <w:rtl w:val="0"/>
                  </w:rPr>
                  <w:t xml:space="preserve">≥ 4.0 из 5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Опрос ответственных Банка по закрытым тикетам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E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13.2. Отчётность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Ежемесячный отчёт — не позднее 5-го рабочего дня следующего месяца. Содержит: реестр всех инцидентов и запросов; статистику по KPI; расчёт доступности; расчёт штрафов и SLA Credits; перечень регламентных и плановых работ.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Ежеквартальный отчёт — анализ трендов, обзор Проблем, статус долгосрочных мер из RCA, рекомендации по улучшениям.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RCA-отчёты по P1/P2 — в установленные Разделом 7 сроки.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Годовой отчёт — итоги года, статус DR-тестирования, обновлённый risk register Системы.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13.3. Сервисные встречи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Еженедельный operational sync — статус открытых инцидентов и запросов (online, 30 мин).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Ежемесячная сервисная встреча — обзор отчёта, действия по KPI (online/очно, 1 час).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Ежеквартальная Service Review — обзор трендов, стратегические темы (очно по возможности, 2 часа).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14. Ответственность и штрафные санкции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14.1. Штрафы за нарушение SLA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after="80" w:before="80" w:line="300" w:lineRule="auto"/>
        <w:jc w:val="both"/>
        <w:rPr/>
      </w:pPr>
      <w:r w:rsidDel="00000000" w:rsidR="00000000" w:rsidRPr="00000000">
        <w:rPr>
          <w:rtl w:val="0"/>
        </w:rPr>
        <w:t xml:space="preserve">В случае несоблюдения SLA Исполнитель выплачивает штраф (или предоставляет SLA Credit по выбору Заказчика). Для расчета штрафов и SLA Credit месячная стоимость технической поддержки и сопровождения в составе Договора № 2 определяется как стоимость технической поддержки и сопровождения за 3 года, указанная в Форме КП, деленная на 36 месяцев:</w:t>
      </w:r>
    </w:p>
    <w:tbl>
      <w:tblPr>
        <w:tblStyle w:val="Table9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00"/>
        <w:gridCol w:w="3500"/>
        <w:gridCol w:w="3360"/>
        <w:tblGridChange w:id="0">
          <w:tblGrid>
            <w:gridCol w:w="2500"/>
            <w:gridCol w:w="3500"/>
            <w:gridCol w:w="33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Нарушение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Базовая ставка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Прогрессивный коэффициент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3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Превышение TTR для инцидента 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3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0,1% от месячной стоимости технической поддержки и сопровождения в составе Договора № 2 за каждый начатый час сверх SLA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3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При 3-м и последующем превышении в квартал — ставка удваивается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Превышение TTR для инцидента P2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4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0,05% от месячной стоимости технической поддержки и сопровождения в составе Договора № 2 за каждый начатый час сверх SLA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4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При 5-м и последующем превышении в квартал — ставка удваивается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4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Превышение TTR для инцидента P3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4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0,01% от месячной стоимости технической поддержки и сопровождения в составе Договора № 2 за каждый начатый рабочий день сверх SLA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4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4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Недоступность Production ниже 99,9% за месяц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4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За каждые 0,1% ниже целевого — 2% от месячной стоимости технической поддержки и сопровождения в составе Договора №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4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Превышение сроков устранения CVE Critical / 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4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Critical: 1% за каждые сутки просрочки; High: 0,3% за каждые сутки просрочки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4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4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Несвоевременное предоставление RCA по P1/P2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4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0,5% от месячной стоимости технической поддержки и сопровождения в составе Договора № 2 за каждый рабочий день просрочки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14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F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Совокупный размер штрафных санкций за календарный месяц не может превышать 30% от месячной стоимости технической поддержки и сопровождения в составе Договора № 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Если в течение трёх кварталов подряд средний размер штрафа превышает 10% от месячной стоимости технической поддержки и сопровождения в составе Договора № 2, Заказчик имеет право прекратить оказание услуг технической поддержки и сопровождения в составе Договора № 2 в одностороннем порядке без штрафных санкций со своей стороны.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Штрафы применяются дополнительно к возмещению прямых убытков, понесённых Банком вследствие нарушения SLA.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14.2. SLA Credits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 выбору Заказчика штрафы могут быть переоформлены в SLA Credits — уменьшение стоимости услуг в следующем расчётном периоде или предоставление дополнительных часов работ Исполнителя в эквивалентном объёме.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SLA Credits не уменьшают совокупный размер штрафа и применяются по тем же расчётным правилам.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14.3. Освобождение от ответственности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Исполнитель освобождается от ответственности по SLA только при наступлении следующих обстоятельств, подтверждённых соответствующими доказательствами: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Форс-мажорные обстоятельства, признаваемые таковыми законодательством Республики Узбекистан.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Виновные действия или бездействие сотрудников Заказчика, прямо приведшие к инциденту.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Сбой инфраструктуры, эксплуатируемой Заказчиком, при условии, что Исполнитель проактивно предупреждал Заказчика о соответствующих рисках в письменной форме.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Согласованное между Сторонами Maintenance Window.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  <w:rtl w:val="0"/>
        </w:rPr>
        <w:t xml:space="preserve">Иные основания (включая «общие проблемы сетевой инфраструктуры», «недоступность сторонних сервисов») не освобождают Исполнителя от ответственности, если иное прямо не согласовано в договоре.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14.4. Границы применения SLA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  <w:rtl w:val="0"/>
        </w:rPr>
        <w:t xml:space="preserve">SLA применяется к компонентам Программного Комплекса, поставляемым, внедряемым и сопровождаемым Исполнителем, включая API, интеграционные интерфейсы, адаптеры и иные компоненты, обеспечивающие взаимодействие с системами и клиентскими каналами Банка. SLA не распространяется на сбои, ошибки, недоступность или деградацию клиентских каналов, инфраструктуры, систем Банка или систем третьих лиц, если такие сбои не вызваны компонентами Программного Комплекса, находящимися в зоне ответственности Исполнителя.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15. Доступность Системы и расчёт простоя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15.1. Целевые показатели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sdt>
        <w:sdtPr>
          <w:id w:val="70302965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Production (агрегированно): ≥ 99,9% в календарный месяц, что соответствует максимально допустимому простою не более 43 минут 12 секунд в месяц (для месяца длительностью 30 дней).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sdt>
        <w:sdtPr>
          <w:id w:val="-2077938568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Production — Integration Layer: ≥ 99,9% в календарный месяц.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15.2. Что считается простоем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Полная недоступность Системы или критических её компонентов для пользователей или интегрированных систем.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Деградация производительности с превышением SLA-показателей времени отклика (Раздел 4.2) более чем в 3 раза по любой из ключевых операций, длящаяся непрерывно более 5 минут.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Функциональная недоступность ключевых сценариев (оформление договоров по продуктам исламского финансирования, отправка проводок в General Ledger, шариатская валидация) более 15 минут непрерывно.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Расчёт ведётся с момента возникновения недоступности (по логам мониторинга или регистрации в системе тикетов — по более раннему из событий) до момента восстановления, подтверждённого мониторингом и/или Заказчиком.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15.3. Что не считается простоем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Согласованные Maintenance Window.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Обстоятельства, перечисленные в п. 14.3 (только при наличии подтверждающих доказательств).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16. Disaster Recovery testing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Исполнитель совместно с Заказчиком проводит учебное переключение на резервный дата-центр (DR test) не реже одного раза в календарный год.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sdt>
        <w:sdtPr>
          <w:id w:val="-2007081654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Целевые показатели восстановления: RPO ≤ 15 минут для финансовых данных; RTO ≤ 1 час для критичных сервисов (P1).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DR test проводится в согласованное Maintenance Window; план тестирования утверждается Заказчиком не позднее чем за 30 календарных дней до проведения.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 итогам DR test формируется отчёт с фактическими RPO/RTO, выявленными проблемами и планом улучшений.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Срыв DR test или несоответствие фактических RPO/RTO целевым значениям требует подготовки и согласования с Заказчиком плана корректирующих действий с повторным проведением test в течение 90 календарных дней.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17. Особенности SLA для исламского контура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В дополнение к общим положениям настоящего SLA, для Программного Комплекса «Исламский Банкинг» применяются следующие особенности: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Любой инцидент, затрагивающий работу функции шариатской валидации, классифицируется как P1 независимо от прочих обстоятельств (см. Раздел 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Простой в дни закрытия операционного дня Банка, в периоды формирования регуляторной отчётности (ЦБ РУз) и в дни начисления дохода по Мударабе считается с применением повышающего коэффициента 1,5 при расчёте штрафных санкций.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Инциденты, затрагивающие шариатскую валидацию операций (например, ложно-положительные срабатывания шариатской валидации, приводящие к блокировке халяльных операций; пропуск контроля Riba/Gharar/Maysir), классифицируются как P1 и эскалируются в Комитетом по Шариату / Экспертным советом Банка.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Изменения шариатских правил вступают в силу только после согласования Комитетом по Шариату / Экспертным советом; самостоятельное изменение правил Исполнителем без согласования рассматривается как существенное нарушение договора.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Отчётность для Экспертного совета формируется и предоставляется в установленные Банком сроки; нарушение сроков подачи отчётности по причине Системы классифицируется как P2 инцидент.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обнаружении факта несоответствия операций Шариату (Sharia non-compliance event) — немедленная нотификация Заказчика (в течение 1 часа) с фиксацией обстоятельств для последующего рассмотрения Комитетом по Шариату / Экспертным советом.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18. Заключительные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Настоящее SLA действует в течение 3 (трёх) лет с даты подписания Акта ввода Программного Комплекса «Исламский Банкинг» в промышленную эксплуатацию (срок технической поддержки согласно п. 10 КСД и разделу 9.5 Технического задания). SLA является неотъемлемой частью Договора № 2 (Договор на Фазу 2 — Реализация и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ввод в ПЭ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и не подлежит ухудшению в одностороннем порядке. По истечении срока действия SLA стороны могут заключить дополнительное соглашение о продлении технической поддержки на согласованных условиях.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первые 2 (два) месяца с даты подписания Акта ввода Программного Комплекса в промышленную эксплуатацию параллельно с настоящим SLA действуют гарантийные обязательства Исполнителя согласно разделу 9.5.1 Технического задания (Приложение № 3). SLA и гарантийные обязательства применяются совместно: дефекты разработки, выявленные в гарантийный период, устраняются Исполнителем за свой счёт в рамках гарантии; нарушения SLA по доступности и времени реакции/восстановления подлежат штрафным санкциям в общем порядке независимо от гарантийного периода.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Сторонам разрешено уточнять и улучшать показатели SLA по взаимному согласию, оформляя изменения дополнительным соглашением.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случае противоречий между настоящим SLA и иными приложениями к договору приоритет имеет настоящее SLA в части показателей качества и ответственности.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Все термины, не определённые в настоящем SLA, толкуются в соответствии с Конкурсной документацией, Техническим заданием (Приложение №3) и Критериями целевой архитектуры (Приложение №5).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before="300" w:lineRule="auto"/>
        <w:jc w:val="left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     ___________     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after="100" w:lineRule="auto"/>
        <w:jc w:val="left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(должность)                          (подпись)                            (Ф.И.О.)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after="100" w:lineRule="auto"/>
        <w:jc w:val="left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м.п.                                                                                              Дата: ___.___.______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◦"/>
      <w:lvlJc w:val="left"/>
      <w:pPr>
        <w:ind w:left="1440" w:hanging="36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1f3864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1f3864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KkY1+GNO9m7q1WAvw45q/xaORA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4AHIhMUNVZzFDUjRtU0N6cVRCTmN3QldDckJaTXRqMnBUYVh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