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7A7C" w14:textId="77777777" w:rsidR="00F54AF2" w:rsidRPr="00E21FA4" w:rsidRDefault="00377E94" w:rsidP="00F54AF2">
      <w:pPr>
        <w:pStyle w:val="ad"/>
        <w:ind w:left="5664"/>
        <w:rPr>
          <w:lang w:val="ru-BY"/>
        </w:rPr>
      </w:pPr>
      <w:r w:rsidRPr="00E21FA4">
        <w:t xml:space="preserve">Приложение №3 к Конкурсной документации </w:t>
      </w:r>
    </w:p>
    <w:p w14:paraId="1CCB993A" w14:textId="218FEC9A" w:rsidR="00F54AF2" w:rsidRPr="00E21FA4" w:rsidRDefault="00377E94" w:rsidP="00F54AF2">
      <w:pPr>
        <w:pStyle w:val="ad"/>
        <w:spacing w:before="0" w:beforeAutospacing="0" w:after="0" w:afterAutospacing="0"/>
        <w:jc w:val="center"/>
        <w:rPr>
          <w:b/>
          <w:bCs/>
          <w:lang w:val="ru-BY"/>
        </w:rPr>
      </w:pPr>
      <w:r w:rsidRPr="00E21FA4">
        <w:rPr>
          <w:b/>
          <w:bCs/>
        </w:rPr>
        <w:t>Техническое задание</w:t>
      </w:r>
    </w:p>
    <w:p w14:paraId="6BD75381" w14:textId="1E21F40E" w:rsidR="00377E94" w:rsidRPr="00E21FA4" w:rsidRDefault="00377E94" w:rsidP="00F54AF2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E21FA4">
        <w:rPr>
          <w:b/>
          <w:bCs/>
        </w:rPr>
        <w:t>по конкурсу «</w:t>
      </w:r>
      <w:r w:rsidR="00B937C7" w:rsidRPr="00E21FA4">
        <w:rPr>
          <w:b/>
          <w:bCs/>
        </w:rPr>
        <w:t>Внедрение и поддержка Power BI</w:t>
      </w:r>
      <w:r w:rsidRPr="00E21FA4">
        <w:rPr>
          <w:b/>
          <w:bCs/>
        </w:rPr>
        <w:t>» для АКБ «Hamkorbank»</w:t>
      </w:r>
    </w:p>
    <w:p w14:paraId="1E836C1A" w14:textId="5454DEA5" w:rsidR="00E21FA4" w:rsidRPr="00E21FA4" w:rsidRDefault="00E21FA4" w:rsidP="00E21FA4">
      <w:pPr>
        <w:pStyle w:val="ad"/>
        <w:numPr>
          <w:ilvl w:val="0"/>
          <w:numId w:val="14"/>
        </w:numPr>
      </w:pPr>
      <w:r w:rsidRPr="0035015B">
        <w:rPr>
          <w:bCs/>
        </w:rPr>
        <w:t xml:space="preserve">Выбор </w:t>
      </w:r>
      <w:r w:rsidRPr="0035015B">
        <w:rPr>
          <w:bCs/>
          <w:lang w:val="ru-BY"/>
        </w:rPr>
        <w:t xml:space="preserve">поставщика </w:t>
      </w:r>
      <w:r w:rsidRPr="0035015B">
        <w:rPr>
          <w:bCs/>
        </w:rPr>
        <w:t>для «Внедрения и поддержк</w:t>
      </w:r>
      <w:r w:rsidRPr="0035015B">
        <w:rPr>
          <w:bCs/>
          <w:lang w:val="ru-BY"/>
        </w:rPr>
        <w:t>и</w:t>
      </w:r>
      <w:r w:rsidRPr="0035015B">
        <w:rPr>
          <w:bCs/>
        </w:rPr>
        <w:t xml:space="preserve"> Power BI» для АКБ «Hamkorbank»</w:t>
      </w:r>
      <w:r w:rsidRPr="00E21FA4">
        <w:t xml:space="preserve"> (далее – Банк) проводится из расчета итоговой оценки предложений участников конкурса с учетом общей стоимости владения системой на горизонте </w:t>
      </w:r>
      <w:r w:rsidRPr="00E21FA4">
        <w:rPr>
          <w:lang w:val="ru-BY"/>
        </w:rPr>
        <w:t>в 3 года</w:t>
      </w:r>
      <w:r w:rsidRPr="00E21FA4">
        <w:t>, сроков внедрении системы, соответствия предложения участника требованиям настоящего Технического задания.</w:t>
      </w:r>
    </w:p>
    <w:p w14:paraId="5194428A" w14:textId="7D0E8464" w:rsidR="0066639A" w:rsidRPr="00E21FA4" w:rsidRDefault="00377E94" w:rsidP="003A4DC8">
      <w:pPr>
        <w:pStyle w:val="ad"/>
        <w:ind w:left="720"/>
      </w:pPr>
      <w:r w:rsidRPr="00E21FA4">
        <w:t xml:space="preserve">Настоящее </w:t>
      </w:r>
      <w:r w:rsidR="00322231">
        <w:rPr>
          <w:lang w:val="ru-BY"/>
        </w:rPr>
        <w:t>Т</w:t>
      </w:r>
      <w:r w:rsidRPr="00E21FA4">
        <w:t xml:space="preserve">ехническое задание (ТЗ) определяет требования к выбору </w:t>
      </w:r>
      <w:r w:rsidR="00E21FA4" w:rsidRPr="00E21FA4">
        <w:rPr>
          <w:lang w:val="ru-BY"/>
        </w:rPr>
        <w:t>п</w:t>
      </w:r>
      <w:r w:rsidRPr="00E21FA4">
        <w:t>оставщика</w:t>
      </w:r>
      <w:r w:rsidR="00E21FA4" w:rsidRPr="00E21FA4">
        <w:rPr>
          <w:lang w:val="ru-BY"/>
        </w:rPr>
        <w:t xml:space="preserve"> </w:t>
      </w:r>
      <w:r w:rsidRPr="00E21FA4">
        <w:t>для поставки лицензий и выполнения работ по внедрению Power BI Report Server для Банк</w:t>
      </w:r>
      <w:r w:rsidR="00E21FA4" w:rsidRPr="00E21FA4">
        <w:rPr>
          <w:lang w:val="ru-BY"/>
        </w:rPr>
        <w:t>а</w:t>
      </w:r>
      <w:r w:rsidRPr="00E21FA4">
        <w:t xml:space="preserve">. </w:t>
      </w:r>
    </w:p>
    <w:p w14:paraId="376055A5" w14:textId="77777777" w:rsidR="003A4B8D" w:rsidRPr="00E21FA4" w:rsidRDefault="003A4B8D" w:rsidP="003A4DC8">
      <w:pPr>
        <w:pStyle w:val="ad"/>
        <w:ind w:left="720"/>
      </w:pPr>
      <w:r w:rsidRPr="00E21FA4">
        <w:t>Объекты закупки:</w:t>
      </w:r>
    </w:p>
    <w:p w14:paraId="1C867B3A" w14:textId="0766C589" w:rsidR="003A4B8D" w:rsidRPr="00E21FA4" w:rsidRDefault="003A4B8D" w:rsidP="003A4B8D">
      <w:pPr>
        <w:pStyle w:val="ad"/>
        <w:numPr>
          <w:ilvl w:val="0"/>
          <w:numId w:val="30"/>
        </w:numPr>
      </w:pPr>
      <w:r w:rsidRPr="00E21FA4">
        <w:rPr>
          <w:lang w:val="ru-RU"/>
        </w:rPr>
        <w:t>Лицензии</w:t>
      </w:r>
      <w:r w:rsidRPr="00E21FA4">
        <w:rPr>
          <w:lang w:val="en-US"/>
        </w:rPr>
        <w:t xml:space="preserve"> </w:t>
      </w:r>
      <w:r w:rsidR="00FD727E" w:rsidRPr="00E21FA4">
        <w:t>Microsoft SQL Server Enterprise Core с Software Assurance (SA), обеспечивающих право использования Power BI Report Server</w:t>
      </w:r>
      <w:r w:rsidRPr="00E21FA4">
        <w:rPr>
          <w:lang w:val="en-US"/>
        </w:rPr>
        <w:t xml:space="preserve"> </w:t>
      </w:r>
      <w:r w:rsidR="00FD727E" w:rsidRPr="00E21FA4">
        <w:rPr>
          <w:lang w:val="en-US"/>
        </w:rPr>
        <w:t>(</w:t>
      </w:r>
      <w:r w:rsidR="00AB0B3A" w:rsidRPr="00E21FA4">
        <w:rPr>
          <w:lang w:val="en-US"/>
        </w:rPr>
        <w:t xml:space="preserve">4 </w:t>
      </w:r>
      <w:r w:rsidR="00AB0B3A" w:rsidRPr="00E21FA4">
        <w:rPr>
          <w:lang w:val="ru-RU"/>
        </w:rPr>
        <w:t>ядра</w:t>
      </w:r>
      <w:r w:rsidR="00FD727E" w:rsidRPr="00E21FA4">
        <w:rPr>
          <w:lang w:val="en-US"/>
        </w:rPr>
        <w:t>)</w:t>
      </w:r>
      <w:r w:rsidR="00C2296A" w:rsidRPr="00E21FA4">
        <w:rPr>
          <w:lang w:val="en-US"/>
        </w:rPr>
        <w:t>;</w:t>
      </w:r>
    </w:p>
    <w:p w14:paraId="335985DF" w14:textId="0CB4C0A3" w:rsidR="003A4B8D" w:rsidRPr="00E21FA4" w:rsidRDefault="003A4B8D" w:rsidP="003A4B8D">
      <w:pPr>
        <w:pStyle w:val="ad"/>
        <w:numPr>
          <w:ilvl w:val="0"/>
          <w:numId w:val="30"/>
        </w:numPr>
      </w:pPr>
      <w:r w:rsidRPr="00E21FA4">
        <w:rPr>
          <w:lang w:val="ru-RU"/>
        </w:rPr>
        <w:t>Работы по внедрению</w:t>
      </w:r>
      <w:r w:rsidR="00C2296A" w:rsidRPr="00E21FA4">
        <w:rPr>
          <w:lang w:val="en-US"/>
        </w:rPr>
        <w:t>;</w:t>
      </w:r>
      <w:r w:rsidRPr="00E21FA4">
        <w:rPr>
          <w:lang w:val="ru-RU"/>
        </w:rPr>
        <w:t xml:space="preserve"> </w:t>
      </w:r>
    </w:p>
    <w:p w14:paraId="0CFAB1F5" w14:textId="0D4ED29C" w:rsidR="003A4B8D" w:rsidRPr="00E21FA4" w:rsidRDefault="003A4B8D" w:rsidP="003A4B8D">
      <w:pPr>
        <w:pStyle w:val="ad"/>
        <w:numPr>
          <w:ilvl w:val="0"/>
          <w:numId w:val="30"/>
        </w:numPr>
      </w:pPr>
      <w:r w:rsidRPr="00E21FA4">
        <w:rPr>
          <w:lang w:val="ru-RU"/>
        </w:rPr>
        <w:t>Услуги технической поддержки</w:t>
      </w:r>
      <w:r w:rsidR="00C2296A" w:rsidRPr="00E21FA4">
        <w:rPr>
          <w:lang w:val="en-US"/>
        </w:rPr>
        <w:t>;</w:t>
      </w:r>
      <w:r w:rsidR="00AB0B3A" w:rsidRPr="00E21FA4">
        <w:rPr>
          <w:lang w:val="ru-RU"/>
        </w:rPr>
        <w:t xml:space="preserve"> </w:t>
      </w:r>
    </w:p>
    <w:p w14:paraId="3EAB686F" w14:textId="0ACAB666" w:rsidR="00377E94" w:rsidRPr="00E21FA4" w:rsidRDefault="003A4B8D" w:rsidP="003A4B8D">
      <w:pPr>
        <w:pStyle w:val="ad"/>
        <w:numPr>
          <w:ilvl w:val="0"/>
          <w:numId w:val="30"/>
        </w:numPr>
      </w:pPr>
      <w:r w:rsidRPr="00E21FA4">
        <w:rPr>
          <w:lang w:val="ru-RU"/>
        </w:rPr>
        <w:t>Дополнительные консалтинговые услуги</w:t>
      </w:r>
      <w:r w:rsidR="00377E94" w:rsidRPr="00E21FA4">
        <w:t>.</w:t>
      </w:r>
    </w:p>
    <w:p w14:paraId="50D24BCE" w14:textId="77777777" w:rsidR="00377E94" w:rsidRPr="00E21FA4" w:rsidRDefault="00377E94" w:rsidP="00377E94">
      <w:pPr>
        <w:pStyle w:val="ad"/>
        <w:numPr>
          <w:ilvl w:val="0"/>
          <w:numId w:val="14"/>
        </w:numPr>
      </w:pPr>
      <w:r w:rsidRPr="00E21FA4">
        <w:t>Общие требования</w:t>
      </w:r>
    </w:p>
    <w:p w14:paraId="1EAC3EF3" w14:textId="77777777" w:rsidR="00B937C7" w:rsidRPr="00E21FA4" w:rsidRDefault="00377E94" w:rsidP="003A4DC8">
      <w:pPr>
        <w:pStyle w:val="ad"/>
        <w:ind w:left="708"/>
      </w:pPr>
      <w:r w:rsidRPr="00E21FA4">
        <w:t xml:space="preserve">2.1. Адрес выполнения работ </w:t>
      </w:r>
    </w:p>
    <w:p w14:paraId="2EB303BD" w14:textId="21463D59" w:rsidR="00377E94" w:rsidRPr="00E21FA4" w:rsidRDefault="00377E94" w:rsidP="003A4DC8">
      <w:pPr>
        <w:pStyle w:val="ad"/>
        <w:ind w:left="1416"/>
      </w:pPr>
      <w:r w:rsidRPr="00E21FA4">
        <w:t>Все работы должны выполняться на территории Республики Узбекистан, в помещениях Банка или удаленно с использованием безопасных каналов связи.</w:t>
      </w:r>
    </w:p>
    <w:p w14:paraId="24A344B3" w14:textId="77777777" w:rsidR="00377E94" w:rsidRPr="00E21FA4" w:rsidRDefault="00377E94" w:rsidP="003A4DC8">
      <w:pPr>
        <w:pStyle w:val="ad"/>
        <w:ind w:left="708"/>
      </w:pPr>
      <w:r w:rsidRPr="00E21FA4">
        <w:t>2.2. Требования к исполнителю</w:t>
      </w:r>
    </w:p>
    <w:p w14:paraId="268F551B" w14:textId="77777777" w:rsidR="00377E94" w:rsidRPr="00E21FA4" w:rsidRDefault="00377E94" w:rsidP="003A4DC8">
      <w:pPr>
        <w:pStyle w:val="ad"/>
        <w:numPr>
          <w:ilvl w:val="0"/>
          <w:numId w:val="15"/>
        </w:numPr>
        <w:tabs>
          <w:tab w:val="clear" w:pos="720"/>
          <w:tab w:val="num" w:pos="1428"/>
        </w:tabs>
        <w:ind w:left="1428"/>
      </w:pPr>
      <w:r w:rsidRPr="00E21FA4">
        <w:t>Исполнитель должен иметь опыт внедрения решений бизнес-аналитики на базе Microsoft Power BI, включая Power BI Report Server, не менее 3 лет.</w:t>
      </w:r>
    </w:p>
    <w:p w14:paraId="63C0AA9F" w14:textId="77777777" w:rsidR="00377E94" w:rsidRPr="00E21FA4" w:rsidRDefault="00377E94" w:rsidP="003A4DC8">
      <w:pPr>
        <w:pStyle w:val="ad"/>
        <w:numPr>
          <w:ilvl w:val="0"/>
          <w:numId w:val="15"/>
        </w:numPr>
        <w:tabs>
          <w:tab w:val="clear" w:pos="720"/>
          <w:tab w:val="num" w:pos="1428"/>
        </w:tabs>
        <w:ind w:left="1428"/>
      </w:pPr>
      <w:r w:rsidRPr="00E21FA4">
        <w:t>Исполнитель должен быть официальным партнером Microsoft с действующими сертификатами, подтверждающими компетенции в области лицензирования и внедрения Microsoft SQL Server и Power BI.</w:t>
      </w:r>
    </w:p>
    <w:p w14:paraId="715E9057" w14:textId="77777777" w:rsidR="00377E94" w:rsidRPr="00E21FA4" w:rsidRDefault="00377E94" w:rsidP="003A4DC8">
      <w:pPr>
        <w:pStyle w:val="ad"/>
        <w:numPr>
          <w:ilvl w:val="0"/>
          <w:numId w:val="15"/>
        </w:numPr>
        <w:tabs>
          <w:tab w:val="clear" w:pos="720"/>
          <w:tab w:val="num" w:pos="1428"/>
        </w:tabs>
        <w:ind w:left="1428"/>
      </w:pPr>
      <w:r w:rsidRPr="00E21FA4">
        <w:t>Исполнитель обязан предоставить не менее 2 специалистов с сертификатами Microsoft в области Power BI или SQL Server.</w:t>
      </w:r>
    </w:p>
    <w:p w14:paraId="53D4601A" w14:textId="77777777" w:rsidR="00377E94" w:rsidRPr="00E21FA4" w:rsidRDefault="00377E94" w:rsidP="003A4DC8">
      <w:pPr>
        <w:pStyle w:val="ad"/>
        <w:ind w:left="708"/>
      </w:pPr>
      <w:r w:rsidRPr="00E21FA4">
        <w:t>2.3. Требования по безопасности</w:t>
      </w:r>
    </w:p>
    <w:p w14:paraId="1577A116" w14:textId="77777777" w:rsidR="00377E94" w:rsidRPr="00E21FA4" w:rsidRDefault="00377E94" w:rsidP="003A4DC8">
      <w:pPr>
        <w:pStyle w:val="ad"/>
        <w:numPr>
          <w:ilvl w:val="0"/>
          <w:numId w:val="16"/>
        </w:numPr>
        <w:tabs>
          <w:tab w:val="clear" w:pos="720"/>
          <w:tab w:val="num" w:pos="1428"/>
        </w:tabs>
        <w:ind w:left="1428"/>
      </w:pPr>
      <w:r w:rsidRPr="00E21FA4">
        <w:t>Победитель конкурса обязан подписать соглашение о конфиденциальности (NDA) до начала работ.</w:t>
      </w:r>
    </w:p>
    <w:p w14:paraId="296B8217" w14:textId="77777777" w:rsidR="00377E94" w:rsidRPr="00E21FA4" w:rsidRDefault="00377E94" w:rsidP="003A4DC8">
      <w:pPr>
        <w:pStyle w:val="ad"/>
        <w:numPr>
          <w:ilvl w:val="0"/>
          <w:numId w:val="16"/>
        </w:numPr>
        <w:tabs>
          <w:tab w:val="clear" w:pos="720"/>
          <w:tab w:val="num" w:pos="1428"/>
        </w:tabs>
        <w:ind w:left="1428"/>
      </w:pPr>
      <w:r w:rsidRPr="00E21FA4">
        <w:t>Все данные, используемые в процессе внедрения, должны обрабатываться в соответствии с требованиями информационной безопасности Банка и законодательством Узбекистана.</w:t>
      </w:r>
    </w:p>
    <w:p w14:paraId="301E6FC4" w14:textId="3EB6F744" w:rsidR="00B937C7" w:rsidRPr="00E21FA4" w:rsidRDefault="00377E94" w:rsidP="003A4DC8">
      <w:pPr>
        <w:pStyle w:val="ad"/>
        <w:numPr>
          <w:ilvl w:val="0"/>
          <w:numId w:val="16"/>
        </w:numPr>
        <w:tabs>
          <w:tab w:val="clear" w:pos="720"/>
          <w:tab w:val="num" w:pos="1428"/>
        </w:tabs>
        <w:ind w:left="1428"/>
      </w:pPr>
      <w:r w:rsidRPr="00E21FA4">
        <w:t>Исполнитель должен обеспечить настройку безопасного доступа к Power BI Report Server, включая HTTPS и интеграцию с Active Directory или локальными пользователями.</w:t>
      </w:r>
    </w:p>
    <w:p w14:paraId="3A46E4E5" w14:textId="77777777" w:rsidR="00377E94" w:rsidRPr="00E21FA4" w:rsidRDefault="00377E94" w:rsidP="00377E94">
      <w:pPr>
        <w:pStyle w:val="ad"/>
        <w:numPr>
          <w:ilvl w:val="0"/>
          <w:numId w:val="17"/>
        </w:numPr>
      </w:pPr>
      <w:r w:rsidRPr="00E21FA4">
        <w:t>Технические требования</w:t>
      </w:r>
    </w:p>
    <w:p w14:paraId="4CC7E927" w14:textId="2BC77B63" w:rsidR="00377E94" w:rsidRPr="00E21FA4" w:rsidRDefault="00377E94" w:rsidP="0066639A">
      <w:pPr>
        <w:pStyle w:val="ad"/>
        <w:ind w:left="708"/>
      </w:pPr>
      <w:r w:rsidRPr="00E21FA4">
        <w:t>3.1. Этапы работ по внедрению Power BI Report Server должны включать:</w:t>
      </w:r>
    </w:p>
    <w:p w14:paraId="2C484D58" w14:textId="77777777" w:rsidR="00377E94" w:rsidRPr="00E21FA4" w:rsidRDefault="00377E94" w:rsidP="0066639A">
      <w:pPr>
        <w:pStyle w:val="ad"/>
        <w:ind w:left="1428"/>
      </w:pPr>
      <w:r w:rsidRPr="00E21FA4">
        <w:lastRenderedPageBreak/>
        <w:t>Этап 1: Мини-дискавери</w:t>
      </w:r>
    </w:p>
    <w:p w14:paraId="6CCBEA14" w14:textId="77777777" w:rsidR="00377E94" w:rsidRPr="00E21FA4" w:rsidRDefault="00377E94" w:rsidP="0066639A">
      <w:pPr>
        <w:pStyle w:val="ad"/>
        <w:numPr>
          <w:ilvl w:val="1"/>
          <w:numId w:val="27"/>
        </w:numPr>
        <w:ind w:left="2148"/>
      </w:pPr>
      <w:r w:rsidRPr="00E21FA4">
        <w:t>Сбор и уточнение требований, включая цели, ожидаемые результаты, архитектуру, безопасность и лицензирование.</w:t>
      </w:r>
    </w:p>
    <w:p w14:paraId="65DFFB8C" w14:textId="77777777" w:rsidR="00377E94" w:rsidRPr="00E21FA4" w:rsidRDefault="00377E94" w:rsidP="0066639A">
      <w:pPr>
        <w:pStyle w:val="ad"/>
        <w:numPr>
          <w:ilvl w:val="1"/>
          <w:numId w:val="27"/>
        </w:numPr>
        <w:ind w:left="2148"/>
      </w:pPr>
      <w:r w:rsidRPr="00E21FA4">
        <w:t>Подготовка архитектурного плана развертывания Power BI Report Server, включая расчет лицензий.</w:t>
      </w:r>
    </w:p>
    <w:p w14:paraId="1C989EBC" w14:textId="6C414EB3" w:rsidR="00377E94" w:rsidRPr="00E21FA4" w:rsidRDefault="00B937C7" w:rsidP="0066639A">
      <w:pPr>
        <w:pStyle w:val="ad"/>
        <w:numPr>
          <w:ilvl w:val="1"/>
          <w:numId w:val="27"/>
        </w:numPr>
        <w:ind w:left="2148"/>
      </w:pPr>
      <w:r w:rsidRPr="00E21FA4">
        <w:rPr>
          <w:lang w:val="ru-RU"/>
        </w:rPr>
        <w:t>Согласование</w:t>
      </w:r>
      <w:r w:rsidR="00377E94" w:rsidRPr="00E21FA4">
        <w:t xml:space="preserve"> технического решения с Банком.</w:t>
      </w:r>
    </w:p>
    <w:p w14:paraId="0C2A5385" w14:textId="77777777" w:rsidR="00377E94" w:rsidRPr="00E21FA4" w:rsidRDefault="00377E94" w:rsidP="0066639A">
      <w:pPr>
        <w:pStyle w:val="ad"/>
        <w:ind w:left="1428"/>
      </w:pPr>
      <w:r w:rsidRPr="00E21FA4">
        <w:t>Этап 2: Настройка и развертывание Power BI Report Server</w:t>
      </w:r>
    </w:p>
    <w:p w14:paraId="4ED2CB7D" w14:textId="77777777" w:rsidR="00377E94" w:rsidRPr="00E21FA4" w:rsidRDefault="00377E94" w:rsidP="0066639A">
      <w:pPr>
        <w:pStyle w:val="ad"/>
        <w:numPr>
          <w:ilvl w:val="1"/>
          <w:numId w:val="28"/>
        </w:numPr>
        <w:ind w:left="2148"/>
      </w:pPr>
      <w:r w:rsidRPr="00E21FA4">
        <w:t>Установка и активация Power BI Report Server (Enterprise).</w:t>
      </w:r>
    </w:p>
    <w:p w14:paraId="07D560C4" w14:textId="77777777" w:rsidR="00377E94" w:rsidRPr="00E21FA4" w:rsidRDefault="00377E94" w:rsidP="0066639A">
      <w:pPr>
        <w:pStyle w:val="ad"/>
        <w:numPr>
          <w:ilvl w:val="1"/>
          <w:numId w:val="28"/>
        </w:numPr>
        <w:ind w:left="2148"/>
      </w:pPr>
      <w:r w:rsidRPr="00E21FA4">
        <w:t>Настройка базы данных ReportServer на SQL Server.</w:t>
      </w:r>
    </w:p>
    <w:p w14:paraId="1FEDF754" w14:textId="77777777" w:rsidR="00377E94" w:rsidRPr="00E21FA4" w:rsidRDefault="00377E94" w:rsidP="0066639A">
      <w:pPr>
        <w:pStyle w:val="ad"/>
        <w:numPr>
          <w:ilvl w:val="1"/>
          <w:numId w:val="28"/>
        </w:numPr>
        <w:ind w:left="2148"/>
      </w:pPr>
      <w:r w:rsidRPr="00E21FA4">
        <w:t>Конфигурация безопасности, включая Active Directory (или локальные пользователи) и HTTPS.</w:t>
      </w:r>
    </w:p>
    <w:p w14:paraId="073606DE" w14:textId="77777777" w:rsidR="00377E94" w:rsidRPr="00E21FA4" w:rsidRDefault="00377E94" w:rsidP="0066639A">
      <w:pPr>
        <w:pStyle w:val="ad"/>
        <w:numPr>
          <w:ilvl w:val="1"/>
          <w:numId w:val="28"/>
        </w:numPr>
        <w:ind w:left="2148"/>
      </w:pPr>
      <w:r w:rsidRPr="00E21FA4">
        <w:t>Подключение к источникам данных, включая настройку gateway (при необходимости).</w:t>
      </w:r>
    </w:p>
    <w:p w14:paraId="3EB232B6" w14:textId="77777777" w:rsidR="00377E94" w:rsidRPr="00E21FA4" w:rsidRDefault="00377E94" w:rsidP="0066639A">
      <w:pPr>
        <w:pStyle w:val="ad"/>
        <w:numPr>
          <w:ilvl w:val="1"/>
          <w:numId w:val="28"/>
        </w:numPr>
        <w:ind w:left="2148"/>
      </w:pPr>
      <w:r w:rsidRPr="00E21FA4">
        <w:t>Тестовая публикация отчета (PBIX-файл) с проверкой доступа и отображения.</w:t>
      </w:r>
    </w:p>
    <w:p w14:paraId="55505592" w14:textId="77777777" w:rsidR="00377E94" w:rsidRPr="00E21FA4" w:rsidRDefault="00377E94" w:rsidP="0066639A">
      <w:pPr>
        <w:pStyle w:val="ad"/>
        <w:numPr>
          <w:ilvl w:val="1"/>
          <w:numId w:val="28"/>
        </w:numPr>
        <w:ind w:left="2148"/>
      </w:pPr>
      <w:r w:rsidRPr="00E21FA4">
        <w:t>Подготовка документации по администрированию и использованию Power BI Report Server (high-level).</w:t>
      </w:r>
    </w:p>
    <w:p w14:paraId="05EF99A2" w14:textId="77777777" w:rsidR="00377E94" w:rsidRPr="00E21FA4" w:rsidRDefault="00377E94" w:rsidP="0066639A">
      <w:pPr>
        <w:pStyle w:val="ad"/>
        <w:numPr>
          <w:ilvl w:val="1"/>
          <w:numId w:val="28"/>
        </w:numPr>
        <w:ind w:left="2148"/>
      </w:pPr>
      <w:r w:rsidRPr="00E21FA4">
        <w:t>Финальная передача проекта с демонстрацией результатов.</w:t>
      </w:r>
    </w:p>
    <w:p w14:paraId="2AA9A4D1" w14:textId="77777777" w:rsidR="00377E94" w:rsidRPr="00E21FA4" w:rsidRDefault="00377E94" w:rsidP="0066639A">
      <w:pPr>
        <w:pStyle w:val="ad"/>
        <w:ind w:left="708"/>
      </w:pPr>
      <w:r w:rsidRPr="00E21FA4">
        <w:t>3.2. Лицензии</w:t>
      </w:r>
    </w:p>
    <w:p w14:paraId="4924A8E9" w14:textId="77777777" w:rsidR="00377E94" w:rsidRPr="00E21FA4" w:rsidRDefault="00377E94" w:rsidP="0066639A">
      <w:pPr>
        <w:pStyle w:val="ad"/>
        <w:numPr>
          <w:ilvl w:val="0"/>
          <w:numId w:val="19"/>
        </w:numPr>
        <w:tabs>
          <w:tab w:val="clear" w:pos="720"/>
          <w:tab w:val="num" w:pos="1428"/>
        </w:tabs>
        <w:ind w:left="1428"/>
      </w:pPr>
      <w:r w:rsidRPr="00E21FA4">
        <w:t>Поставка лицензий Microsoft SQL Server Enterprise Core с Software Assurance (SA), обеспечивающих право использования Power BI Report Server.</w:t>
      </w:r>
    </w:p>
    <w:p w14:paraId="1E70DB52" w14:textId="77777777" w:rsidR="00377E94" w:rsidRPr="00E21FA4" w:rsidRDefault="00377E94" w:rsidP="0066639A">
      <w:pPr>
        <w:pStyle w:val="ad"/>
        <w:numPr>
          <w:ilvl w:val="0"/>
          <w:numId w:val="19"/>
        </w:numPr>
        <w:tabs>
          <w:tab w:val="clear" w:pos="720"/>
          <w:tab w:val="num" w:pos="1428"/>
        </w:tabs>
        <w:ind w:left="1428"/>
      </w:pPr>
      <w:r w:rsidRPr="00E21FA4">
        <w:t>Минимальное количество: лицензии на 4 ядра (например, 2 лицензии по 2 ядра).</w:t>
      </w:r>
    </w:p>
    <w:p w14:paraId="6A9AA91C" w14:textId="77777777" w:rsidR="00377E94" w:rsidRPr="00E21FA4" w:rsidRDefault="00377E94" w:rsidP="0066639A">
      <w:pPr>
        <w:pStyle w:val="ad"/>
        <w:numPr>
          <w:ilvl w:val="0"/>
          <w:numId w:val="19"/>
        </w:numPr>
        <w:tabs>
          <w:tab w:val="clear" w:pos="720"/>
          <w:tab w:val="num" w:pos="1428"/>
        </w:tabs>
        <w:ind w:left="1428"/>
      </w:pPr>
      <w:r w:rsidRPr="00E21FA4">
        <w:t>Лицензии должны быть бессрочными с подпиской на обновления (SA) на 3 года.</w:t>
      </w:r>
    </w:p>
    <w:p w14:paraId="4A568C96" w14:textId="77777777" w:rsidR="00377E94" w:rsidRPr="00E21FA4" w:rsidRDefault="00377E94" w:rsidP="0066639A">
      <w:pPr>
        <w:pStyle w:val="ad"/>
        <w:numPr>
          <w:ilvl w:val="0"/>
          <w:numId w:val="19"/>
        </w:numPr>
        <w:tabs>
          <w:tab w:val="clear" w:pos="720"/>
          <w:tab w:val="num" w:pos="1428"/>
        </w:tabs>
        <w:ind w:left="1428"/>
      </w:pPr>
      <w:r w:rsidRPr="00E21FA4">
        <w:t>Лицензии должны соответствовать программе Microsoft Products and Services Agreement (MPSA).</w:t>
      </w:r>
    </w:p>
    <w:p w14:paraId="755C222B" w14:textId="77777777" w:rsidR="00377E94" w:rsidRPr="00E21FA4" w:rsidRDefault="00377E94" w:rsidP="0066639A">
      <w:pPr>
        <w:pStyle w:val="ad"/>
        <w:ind w:left="708"/>
      </w:pPr>
      <w:r w:rsidRPr="00E21FA4">
        <w:t>3.3. Договор поддержки и дополнительные услуги</w:t>
      </w:r>
    </w:p>
    <w:p w14:paraId="6A97B6FE" w14:textId="0AF8ADD7" w:rsidR="00377E94" w:rsidRPr="00E21FA4" w:rsidRDefault="00377E94" w:rsidP="0066639A">
      <w:pPr>
        <w:pStyle w:val="ad"/>
        <w:numPr>
          <w:ilvl w:val="0"/>
          <w:numId w:val="20"/>
        </w:numPr>
        <w:tabs>
          <w:tab w:val="clear" w:pos="720"/>
          <w:tab w:val="num" w:pos="1428"/>
        </w:tabs>
        <w:ind w:left="1428"/>
      </w:pPr>
      <w:r w:rsidRPr="00E21FA4">
        <w:t>Исполнитель должен предоставить договор поддержки (SLA) на срок не менее 1 года с возможностью продления до 3 лет, включающий базовый пакет сопровождения (до 45 часов в месяц).</w:t>
      </w:r>
      <w:r w:rsidR="00547589" w:rsidRPr="00E21FA4">
        <w:rPr>
          <w:lang w:val="ru-RU"/>
        </w:rPr>
        <w:t xml:space="preserve"> </w:t>
      </w:r>
    </w:p>
    <w:p w14:paraId="01356AB9" w14:textId="65C97DE9" w:rsidR="00547589" w:rsidRPr="00E21FA4" w:rsidRDefault="00547589" w:rsidP="0066639A">
      <w:pPr>
        <w:pStyle w:val="ad"/>
        <w:numPr>
          <w:ilvl w:val="0"/>
          <w:numId w:val="20"/>
        </w:numPr>
        <w:tabs>
          <w:tab w:val="clear" w:pos="720"/>
          <w:tab w:val="num" w:pos="1428"/>
        </w:tabs>
        <w:ind w:left="1428"/>
      </w:pPr>
      <w:r w:rsidRPr="00E21FA4">
        <w:rPr>
          <w:lang w:val="ru-RU"/>
        </w:rPr>
        <w:t>Исполнитель должен гарантировать выполнение следующих сроков реакции на инциденты в зависимости от приоритета:</w:t>
      </w:r>
    </w:p>
    <w:tbl>
      <w:tblPr>
        <w:tblStyle w:val="ae"/>
        <w:tblW w:w="0" w:type="auto"/>
        <w:tblInd w:w="1303" w:type="dxa"/>
        <w:tblLook w:val="04A0" w:firstRow="1" w:lastRow="0" w:firstColumn="1" w:lastColumn="0" w:noHBand="0" w:noVBand="1"/>
      </w:tblPr>
      <w:tblGrid>
        <w:gridCol w:w="1518"/>
        <w:gridCol w:w="4389"/>
        <w:gridCol w:w="3115"/>
      </w:tblGrid>
      <w:tr w:rsidR="00547589" w:rsidRPr="00E21FA4" w14:paraId="3CB8EE7D" w14:textId="77777777" w:rsidTr="00547589">
        <w:tc>
          <w:tcPr>
            <w:tcW w:w="1413" w:type="dxa"/>
            <w:shd w:val="clear" w:color="auto" w:fill="E8E8E8" w:themeFill="background2"/>
          </w:tcPr>
          <w:p w14:paraId="3AE05E95" w14:textId="77777777" w:rsidR="00547589" w:rsidRPr="00E21FA4" w:rsidRDefault="00547589" w:rsidP="00566AA5">
            <w:pPr>
              <w:spacing w:before="120" w:after="24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E21FA4"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  <w:tc>
          <w:tcPr>
            <w:tcW w:w="4394" w:type="dxa"/>
            <w:shd w:val="clear" w:color="auto" w:fill="E8E8E8" w:themeFill="background2"/>
          </w:tcPr>
          <w:p w14:paraId="4C995DA2" w14:textId="77777777" w:rsidR="00547589" w:rsidRPr="00E21FA4" w:rsidRDefault="00547589" w:rsidP="00566AA5">
            <w:pPr>
              <w:spacing w:before="120" w:after="24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E21FA4">
              <w:rPr>
                <w:rFonts w:ascii="Times New Roman" w:hAnsi="Times New Roman" w:cs="Times New Roman"/>
                <w:b/>
                <w:bCs/>
              </w:rPr>
              <w:t>Ситуация для бизнеса</w:t>
            </w:r>
          </w:p>
        </w:tc>
        <w:tc>
          <w:tcPr>
            <w:tcW w:w="3119" w:type="dxa"/>
            <w:shd w:val="clear" w:color="auto" w:fill="E8E8E8" w:themeFill="background2"/>
          </w:tcPr>
          <w:p w14:paraId="32A9F215" w14:textId="77777777" w:rsidR="00547589" w:rsidRPr="00E21FA4" w:rsidRDefault="00547589" w:rsidP="00566AA5">
            <w:pPr>
              <w:spacing w:before="120" w:after="240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E21FA4">
              <w:rPr>
                <w:rFonts w:ascii="Times New Roman" w:hAnsi="Times New Roman" w:cs="Times New Roman"/>
                <w:b/>
                <w:bCs/>
              </w:rPr>
              <w:t>Время начала работы</w:t>
            </w:r>
          </w:p>
        </w:tc>
      </w:tr>
      <w:tr w:rsidR="00547589" w:rsidRPr="00E21FA4" w14:paraId="7A569BB3" w14:textId="77777777" w:rsidTr="00547589">
        <w:tc>
          <w:tcPr>
            <w:tcW w:w="1413" w:type="dxa"/>
          </w:tcPr>
          <w:p w14:paraId="1DA2099A" w14:textId="77777777" w:rsidR="00547589" w:rsidRPr="00E21FA4" w:rsidRDefault="00547589" w:rsidP="00566AA5">
            <w:pPr>
              <w:spacing w:before="120" w:after="240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E21FA4">
              <w:rPr>
                <w:rFonts w:ascii="Times New Roman" w:hAnsi="Times New Roman" w:cs="Times New Roman"/>
                <w:b/>
                <w:bCs/>
              </w:rPr>
              <w:t>Критичный</w:t>
            </w:r>
          </w:p>
        </w:tc>
        <w:tc>
          <w:tcPr>
            <w:tcW w:w="4394" w:type="dxa"/>
          </w:tcPr>
          <w:p w14:paraId="67108887" w14:textId="35CFF068" w:rsidR="00547589" w:rsidRPr="00E21FA4" w:rsidRDefault="00547589" w:rsidP="00547589">
            <w:pPr>
              <w:spacing w:before="120" w:after="240"/>
              <w:rPr>
                <w:rFonts w:ascii="Times New Roman" w:eastAsia="Calibri" w:hAnsi="Times New Roman" w:cs="Times New Roman"/>
                <w:noProof/>
              </w:rPr>
            </w:pPr>
            <w:r w:rsidRPr="00E21FA4">
              <w:rPr>
                <w:rFonts w:ascii="Times New Roman" w:hAnsi="Times New Roman" w:cs="Times New Roman"/>
              </w:rPr>
              <w:t>Сервис полностью недоступен. Ключевые функции недоступны.</w:t>
            </w:r>
          </w:p>
        </w:tc>
        <w:tc>
          <w:tcPr>
            <w:tcW w:w="3119" w:type="dxa"/>
          </w:tcPr>
          <w:p w14:paraId="00528F78" w14:textId="77777777" w:rsidR="00547589" w:rsidRPr="00E21FA4" w:rsidRDefault="00547589" w:rsidP="00566AA5">
            <w:pPr>
              <w:spacing w:before="120" w:after="240"/>
              <w:rPr>
                <w:rFonts w:ascii="Times New Roman" w:eastAsia="Calibri" w:hAnsi="Times New Roman" w:cs="Times New Roman"/>
                <w:noProof/>
              </w:rPr>
            </w:pPr>
            <w:r w:rsidRPr="00E21FA4">
              <w:rPr>
                <w:rFonts w:ascii="Times New Roman" w:hAnsi="Times New Roman" w:cs="Times New Roman"/>
              </w:rPr>
              <w:t>В течение 2 часов</w:t>
            </w:r>
          </w:p>
        </w:tc>
      </w:tr>
      <w:tr w:rsidR="00547589" w:rsidRPr="00E21FA4" w14:paraId="64CCE2D0" w14:textId="77777777" w:rsidTr="00547589">
        <w:tc>
          <w:tcPr>
            <w:tcW w:w="1413" w:type="dxa"/>
          </w:tcPr>
          <w:p w14:paraId="67A00934" w14:textId="77777777" w:rsidR="00547589" w:rsidRPr="00E21FA4" w:rsidRDefault="00547589" w:rsidP="00566AA5">
            <w:pPr>
              <w:spacing w:before="120" w:after="240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E21FA4">
              <w:rPr>
                <w:rFonts w:ascii="Times New Roman" w:hAnsi="Times New Roman" w:cs="Times New Roman"/>
                <w:b/>
                <w:bCs/>
              </w:rPr>
              <w:t>Высокий</w:t>
            </w:r>
          </w:p>
        </w:tc>
        <w:tc>
          <w:tcPr>
            <w:tcW w:w="4394" w:type="dxa"/>
          </w:tcPr>
          <w:p w14:paraId="3F20DC04" w14:textId="4CC3918C" w:rsidR="00547589" w:rsidRPr="00E21FA4" w:rsidRDefault="00547589" w:rsidP="00547589">
            <w:pPr>
              <w:spacing w:before="120" w:after="240"/>
              <w:rPr>
                <w:rFonts w:ascii="Times New Roman" w:eastAsia="Calibri" w:hAnsi="Times New Roman" w:cs="Times New Roman"/>
                <w:noProof/>
              </w:rPr>
            </w:pPr>
            <w:r w:rsidRPr="00E21FA4">
              <w:rPr>
                <w:rFonts w:ascii="Times New Roman" w:hAnsi="Times New Roman" w:cs="Times New Roman"/>
              </w:rPr>
              <w:t>Существенные сбои. Нарушена работа важного раздела системы.</w:t>
            </w:r>
          </w:p>
        </w:tc>
        <w:tc>
          <w:tcPr>
            <w:tcW w:w="3119" w:type="dxa"/>
          </w:tcPr>
          <w:p w14:paraId="6AA55C25" w14:textId="77777777" w:rsidR="00547589" w:rsidRPr="00E21FA4" w:rsidRDefault="00547589" w:rsidP="00566AA5">
            <w:pPr>
              <w:spacing w:before="120" w:after="240"/>
              <w:rPr>
                <w:rFonts w:ascii="Times New Roman" w:eastAsia="Calibri" w:hAnsi="Times New Roman" w:cs="Times New Roman"/>
                <w:noProof/>
              </w:rPr>
            </w:pPr>
            <w:r w:rsidRPr="00E21FA4">
              <w:rPr>
                <w:rFonts w:ascii="Times New Roman" w:hAnsi="Times New Roman" w:cs="Times New Roman"/>
              </w:rPr>
              <w:t>В течение 8 часов</w:t>
            </w:r>
          </w:p>
        </w:tc>
      </w:tr>
      <w:tr w:rsidR="00547589" w:rsidRPr="00E21FA4" w14:paraId="62612F65" w14:textId="77777777" w:rsidTr="00547589">
        <w:tc>
          <w:tcPr>
            <w:tcW w:w="1413" w:type="dxa"/>
          </w:tcPr>
          <w:p w14:paraId="23262A91" w14:textId="77777777" w:rsidR="00547589" w:rsidRPr="00E21FA4" w:rsidRDefault="00547589" w:rsidP="00566AA5">
            <w:pPr>
              <w:spacing w:before="120" w:after="240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E21FA4">
              <w:rPr>
                <w:rFonts w:ascii="Times New Roman" w:hAnsi="Times New Roman" w:cs="Times New Roman"/>
                <w:b/>
                <w:bCs/>
              </w:rPr>
              <w:t>Средний</w:t>
            </w:r>
          </w:p>
        </w:tc>
        <w:tc>
          <w:tcPr>
            <w:tcW w:w="4394" w:type="dxa"/>
          </w:tcPr>
          <w:p w14:paraId="33C6E174" w14:textId="568F832B" w:rsidR="00547589" w:rsidRPr="00E21FA4" w:rsidRDefault="00547589" w:rsidP="00547589">
            <w:pPr>
              <w:spacing w:before="120" w:after="240"/>
              <w:rPr>
                <w:rFonts w:ascii="Times New Roman" w:eastAsia="Calibri" w:hAnsi="Times New Roman" w:cs="Times New Roman"/>
                <w:noProof/>
              </w:rPr>
            </w:pPr>
            <w:r w:rsidRPr="00E21FA4">
              <w:rPr>
                <w:rFonts w:ascii="Times New Roman" w:hAnsi="Times New Roman" w:cs="Times New Roman"/>
              </w:rPr>
              <w:t>Частичные затруднения. Затронуты отдельные задачи.</w:t>
            </w:r>
          </w:p>
        </w:tc>
        <w:tc>
          <w:tcPr>
            <w:tcW w:w="3119" w:type="dxa"/>
          </w:tcPr>
          <w:p w14:paraId="6FC3FED2" w14:textId="77777777" w:rsidR="00547589" w:rsidRPr="00E21FA4" w:rsidRDefault="00547589" w:rsidP="00566AA5">
            <w:pPr>
              <w:spacing w:before="120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47589" w:rsidRPr="00E21FA4" w14:paraId="093D9C6C" w14:textId="77777777" w:rsidTr="00566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13BCC4" w14:textId="77777777" w:rsidR="00547589" w:rsidRPr="00E21FA4" w:rsidRDefault="00547589" w:rsidP="00566AA5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BA6A052" w14:textId="77777777" w:rsidR="00547589" w:rsidRPr="00E21FA4" w:rsidRDefault="00547589" w:rsidP="00566AA5">
            <w:pPr>
              <w:spacing w:before="120" w:after="240"/>
              <w:rPr>
                <w:rFonts w:ascii="Times New Roman" w:eastAsia="Calibri" w:hAnsi="Times New Roman" w:cs="Times New Roman"/>
                <w:noProof/>
              </w:rPr>
            </w:pPr>
            <w:r w:rsidRPr="00E21FA4">
              <w:rPr>
                <w:rFonts w:ascii="Times New Roman" w:hAnsi="Times New Roman" w:cs="Times New Roman"/>
              </w:rPr>
              <w:t>В течение 1.5 рабочего дня</w:t>
            </w:r>
          </w:p>
        </w:tc>
      </w:tr>
      <w:tr w:rsidR="00547589" w:rsidRPr="00E21FA4" w14:paraId="5BA53C51" w14:textId="77777777" w:rsidTr="00547589">
        <w:tc>
          <w:tcPr>
            <w:tcW w:w="1413" w:type="dxa"/>
          </w:tcPr>
          <w:p w14:paraId="45642C14" w14:textId="77777777" w:rsidR="00547589" w:rsidRPr="00E21FA4" w:rsidRDefault="00547589" w:rsidP="00566AA5">
            <w:pPr>
              <w:spacing w:before="120" w:after="240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E21FA4">
              <w:rPr>
                <w:rFonts w:ascii="Times New Roman" w:hAnsi="Times New Roman" w:cs="Times New Roman"/>
                <w:b/>
                <w:bCs/>
              </w:rPr>
              <w:lastRenderedPageBreak/>
              <w:t>Низкий</w:t>
            </w:r>
          </w:p>
        </w:tc>
        <w:tc>
          <w:tcPr>
            <w:tcW w:w="4394" w:type="dxa"/>
          </w:tcPr>
          <w:p w14:paraId="0E1FBF00" w14:textId="054683FA" w:rsidR="00547589" w:rsidRPr="00E21FA4" w:rsidRDefault="00547589" w:rsidP="00547589">
            <w:pPr>
              <w:spacing w:before="120" w:after="240"/>
              <w:rPr>
                <w:rFonts w:ascii="Times New Roman" w:eastAsia="Calibri" w:hAnsi="Times New Roman" w:cs="Times New Roman"/>
                <w:noProof/>
              </w:rPr>
            </w:pPr>
            <w:r w:rsidRPr="00E21FA4">
              <w:rPr>
                <w:rFonts w:ascii="Times New Roman" w:hAnsi="Times New Roman" w:cs="Times New Roman"/>
              </w:rPr>
              <w:t>Незначительное неудобство. Сервис продолжает работать.</w:t>
            </w:r>
          </w:p>
        </w:tc>
        <w:tc>
          <w:tcPr>
            <w:tcW w:w="3119" w:type="dxa"/>
          </w:tcPr>
          <w:p w14:paraId="72EF2682" w14:textId="77777777" w:rsidR="00547589" w:rsidRPr="00E21FA4" w:rsidRDefault="00547589" w:rsidP="00566AA5">
            <w:pPr>
              <w:spacing w:before="120" w:after="240"/>
              <w:rPr>
                <w:rFonts w:ascii="Times New Roman" w:eastAsia="Calibri" w:hAnsi="Times New Roman" w:cs="Times New Roman"/>
                <w:noProof/>
              </w:rPr>
            </w:pPr>
            <w:r w:rsidRPr="00E21FA4">
              <w:rPr>
                <w:rFonts w:ascii="Times New Roman" w:hAnsi="Times New Roman" w:cs="Times New Roman"/>
              </w:rPr>
              <w:t>В течение 2.5 рабочих дней</w:t>
            </w:r>
          </w:p>
        </w:tc>
      </w:tr>
    </w:tbl>
    <w:p w14:paraId="05020E04" w14:textId="77777777" w:rsidR="00547589" w:rsidRPr="00E21FA4" w:rsidRDefault="00547589" w:rsidP="00547589">
      <w:pPr>
        <w:pStyle w:val="ad"/>
        <w:ind w:left="1428"/>
      </w:pPr>
    </w:p>
    <w:p w14:paraId="4FD4E758" w14:textId="77777777" w:rsidR="00547589" w:rsidRPr="00E21FA4" w:rsidRDefault="00547589" w:rsidP="00547589">
      <w:pPr>
        <w:pStyle w:val="ad"/>
      </w:pPr>
    </w:p>
    <w:p w14:paraId="5954135A" w14:textId="56FF7F7C" w:rsidR="00377E94" w:rsidRPr="00E21FA4" w:rsidRDefault="003A4DC8" w:rsidP="0066639A">
      <w:pPr>
        <w:pStyle w:val="ad"/>
        <w:numPr>
          <w:ilvl w:val="0"/>
          <w:numId w:val="20"/>
        </w:numPr>
        <w:tabs>
          <w:tab w:val="clear" w:pos="720"/>
          <w:tab w:val="num" w:pos="1428"/>
        </w:tabs>
        <w:ind w:left="1428"/>
      </w:pPr>
      <w:r w:rsidRPr="00E21FA4">
        <w:rPr>
          <w:lang w:val="ru-RU"/>
        </w:rPr>
        <w:t>Дополнительные к</w:t>
      </w:r>
      <w:r w:rsidR="00377E94" w:rsidRPr="00E21FA4">
        <w:t xml:space="preserve">онсалтинговые услуги должны </w:t>
      </w:r>
      <w:r w:rsidRPr="00E21FA4">
        <w:rPr>
          <w:lang w:val="ru-RU"/>
        </w:rPr>
        <w:t>быть зафиксированы в договоре поддержк</w:t>
      </w:r>
      <w:r w:rsidR="00C33714" w:rsidRPr="00E21FA4">
        <w:rPr>
          <w:lang w:val="ru-RU"/>
        </w:rPr>
        <w:t>и</w:t>
      </w:r>
      <w:r w:rsidRPr="00E21FA4">
        <w:rPr>
          <w:lang w:val="ru-RU"/>
        </w:rPr>
        <w:t xml:space="preserve"> по фиксированной ст</w:t>
      </w:r>
      <w:r w:rsidR="0066639A" w:rsidRPr="00E21FA4">
        <w:rPr>
          <w:lang w:val="ru-RU"/>
        </w:rPr>
        <w:t xml:space="preserve">оимости </w:t>
      </w:r>
      <w:r w:rsidR="00377E94" w:rsidRPr="00E21FA4">
        <w:t>за 1 час работы, без НДС</w:t>
      </w:r>
      <w:r w:rsidR="0066639A" w:rsidRPr="00E21FA4">
        <w:rPr>
          <w:lang w:val="ru-RU"/>
        </w:rPr>
        <w:t xml:space="preserve"> для следующих ролей и задач</w:t>
      </w:r>
      <w:r w:rsidR="00377E94" w:rsidRPr="00E21FA4">
        <w:t>:</w:t>
      </w:r>
    </w:p>
    <w:p w14:paraId="09773ED0" w14:textId="267393F5" w:rsidR="00377E94" w:rsidRPr="00E21FA4" w:rsidRDefault="00377E94" w:rsidP="0066639A">
      <w:pPr>
        <w:pStyle w:val="ad"/>
        <w:numPr>
          <w:ilvl w:val="2"/>
          <w:numId w:val="29"/>
        </w:numPr>
      </w:pPr>
      <w:r w:rsidRPr="00E21FA4">
        <w:t>Data Architect</w:t>
      </w:r>
      <w:r w:rsidR="0066639A" w:rsidRPr="00E21FA4">
        <w:rPr>
          <w:lang w:val="ru-RU"/>
        </w:rPr>
        <w:t xml:space="preserve"> - </w:t>
      </w:r>
      <w:r w:rsidRPr="00E21FA4">
        <w:t>проектирование технической архитектуры, хранилища данных, ETL-процессов.</w:t>
      </w:r>
    </w:p>
    <w:p w14:paraId="3EB1603E" w14:textId="2F06B903" w:rsidR="00377E94" w:rsidRPr="00E21FA4" w:rsidRDefault="00377E94" w:rsidP="0066639A">
      <w:pPr>
        <w:pStyle w:val="ad"/>
        <w:numPr>
          <w:ilvl w:val="2"/>
          <w:numId w:val="29"/>
        </w:numPr>
      </w:pPr>
      <w:r w:rsidRPr="00E21FA4">
        <w:t>Data Analyst</w:t>
      </w:r>
      <w:r w:rsidR="0066639A" w:rsidRPr="00E21FA4">
        <w:rPr>
          <w:lang w:val="ru-RU"/>
        </w:rPr>
        <w:t xml:space="preserve"> - </w:t>
      </w:r>
      <w:r w:rsidRPr="00E21FA4">
        <w:t xml:space="preserve"> создание макетов дашбордов/отчетов, разработка SSAS-моделей, оптимизация DAX-вычислений, публикация отчетов.</w:t>
      </w:r>
    </w:p>
    <w:p w14:paraId="35C60A95" w14:textId="155FF4C2" w:rsidR="00377E94" w:rsidRPr="00E21FA4" w:rsidRDefault="00377E94" w:rsidP="0066639A">
      <w:pPr>
        <w:pStyle w:val="ad"/>
        <w:numPr>
          <w:ilvl w:val="2"/>
          <w:numId w:val="29"/>
        </w:numPr>
      </w:pPr>
      <w:r w:rsidRPr="00E21FA4">
        <w:t>Data Engineer</w:t>
      </w:r>
      <w:r w:rsidR="0066639A" w:rsidRPr="00E21FA4">
        <w:rPr>
          <w:lang w:val="ru-RU"/>
        </w:rPr>
        <w:t xml:space="preserve"> - </w:t>
      </w:r>
      <w:r w:rsidRPr="00E21FA4">
        <w:t>интеграция данных, трансформация и загрузка данных в хранилище, автоматизация ETL-процессов.</w:t>
      </w:r>
    </w:p>
    <w:p w14:paraId="0990CABA" w14:textId="39C9CE50" w:rsidR="00377E94" w:rsidRPr="00E21FA4" w:rsidRDefault="00377E94" w:rsidP="0066639A">
      <w:pPr>
        <w:pStyle w:val="ad"/>
        <w:numPr>
          <w:ilvl w:val="2"/>
          <w:numId w:val="29"/>
        </w:numPr>
      </w:pPr>
      <w:r w:rsidRPr="00E21FA4">
        <w:t>DevOps</w:t>
      </w:r>
      <w:r w:rsidR="0066639A" w:rsidRPr="00E21FA4">
        <w:rPr>
          <w:lang w:val="ru-RU"/>
        </w:rPr>
        <w:t xml:space="preserve"> - </w:t>
      </w:r>
      <w:r w:rsidRPr="00E21FA4">
        <w:t>настройка среды, установка Power BI Report Server, конфигурация мониторинга и резервного копирования, управление доступом.</w:t>
      </w:r>
    </w:p>
    <w:p w14:paraId="4B051D40" w14:textId="334C7D51" w:rsidR="00377E94" w:rsidRPr="00E21FA4" w:rsidRDefault="00377E94" w:rsidP="003A4DC8">
      <w:pPr>
        <w:pStyle w:val="ad"/>
        <w:numPr>
          <w:ilvl w:val="0"/>
          <w:numId w:val="21"/>
        </w:numPr>
      </w:pPr>
      <w:r w:rsidRPr="00E21FA4">
        <w:t>Сроки и порядок поставки</w:t>
      </w:r>
    </w:p>
    <w:p w14:paraId="00B57C23" w14:textId="062A741B" w:rsidR="00377E94" w:rsidRPr="00E21FA4" w:rsidRDefault="00FD727E" w:rsidP="00377E94">
      <w:pPr>
        <w:pStyle w:val="ad"/>
        <w:numPr>
          <w:ilvl w:val="0"/>
          <w:numId w:val="22"/>
        </w:numPr>
      </w:pPr>
      <w:r w:rsidRPr="00E21FA4">
        <w:rPr>
          <w:lang w:val="ru-RU"/>
        </w:rPr>
        <w:t xml:space="preserve">Весь проект (включая этапы мини-дискавери и развертывание </w:t>
      </w:r>
      <w:r w:rsidRPr="00E21FA4">
        <w:rPr>
          <w:lang w:val="en-US"/>
        </w:rPr>
        <w:t>Power</w:t>
      </w:r>
      <w:r w:rsidRPr="00E21FA4">
        <w:rPr>
          <w:lang w:val="ru-RU"/>
        </w:rPr>
        <w:t xml:space="preserve"> </w:t>
      </w:r>
      <w:r w:rsidRPr="00E21FA4">
        <w:rPr>
          <w:lang w:val="en-US"/>
        </w:rPr>
        <w:t>BI</w:t>
      </w:r>
      <w:r w:rsidRPr="00E21FA4">
        <w:rPr>
          <w:lang w:val="ru-RU"/>
        </w:rPr>
        <w:t xml:space="preserve"> </w:t>
      </w:r>
      <w:r w:rsidRPr="00E21FA4">
        <w:rPr>
          <w:lang w:val="en-US"/>
        </w:rPr>
        <w:t>Server</w:t>
      </w:r>
      <w:r w:rsidRPr="00E21FA4">
        <w:rPr>
          <w:lang w:val="ru-RU"/>
        </w:rPr>
        <w:t>) должен быть завершен не позднее 2</w:t>
      </w:r>
      <w:r w:rsidR="008B3E41">
        <w:rPr>
          <w:lang w:val="ru-RU"/>
        </w:rPr>
        <w:t xml:space="preserve"> (дву</w:t>
      </w:r>
      <w:r w:rsidRPr="00E21FA4">
        <w:rPr>
          <w:lang w:val="ru-RU"/>
        </w:rPr>
        <w:t>х</w:t>
      </w:r>
      <w:r w:rsidR="008B3E41">
        <w:rPr>
          <w:lang w:val="ru-RU"/>
        </w:rPr>
        <w:t>)</w:t>
      </w:r>
      <w:r w:rsidRPr="00E21FA4">
        <w:rPr>
          <w:lang w:val="ru-RU"/>
        </w:rPr>
        <w:t xml:space="preserve"> месяцев после подписания контракта.</w:t>
      </w:r>
    </w:p>
    <w:p w14:paraId="7C11D8FB" w14:textId="77777777" w:rsidR="00377E94" w:rsidRPr="00E21FA4" w:rsidRDefault="00377E94" w:rsidP="00377E94">
      <w:pPr>
        <w:pStyle w:val="ad"/>
        <w:numPr>
          <w:ilvl w:val="0"/>
          <w:numId w:val="25"/>
        </w:numPr>
      </w:pPr>
      <w:r w:rsidRPr="00E21FA4">
        <w:t>Дополнительные условия</w:t>
      </w:r>
    </w:p>
    <w:p w14:paraId="53BE21C0" w14:textId="77777777" w:rsidR="00377E94" w:rsidRPr="00E21FA4" w:rsidRDefault="00377E94" w:rsidP="00377E94">
      <w:pPr>
        <w:pStyle w:val="ad"/>
        <w:numPr>
          <w:ilvl w:val="0"/>
          <w:numId w:val="26"/>
        </w:numPr>
      </w:pPr>
      <w:r w:rsidRPr="00E21FA4">
        <w:t>Все лицензии должны быть официально сертифицированы и зарегистрированы в соответствии с требованиями Microsoft.</w:t>
      </w:r>
    </w:p>
    <w:p w14:paraId="4021934C" w14:textId="0507B164" w:rsidR="00377E94" w:rsidRPr="00E21FA4" w:rsidRDefault="00377E94" w:rsidP="00377E94">
      <w:pPr>
        <w:pStyle w:val="ad"/>
        <w:numPr>
          <w:ilvl w:val="0"/>
          <w:numId w:val="26"/>
        </w:numPr>
      </w:pPr>
      <w:r w:rsidRPr="00E21FA4">
        <w:t>Исполнитель обязан провести обучение не менее 2 сотрудников Банка по администрированию Power BI Report Server.</w:t>
      </w:r>
    </w:p>
    <w:p w14:paraId="631CAE90" w14:textId="77777777" w:rsidR="00377E94" w:rsidRPr="00E21FA4" w:rsidRDefault="00377E94" w:rsidP="00377E94">
      <w:pPr>
        <w:pStyle w:val="ad"/>
        <w:numPr>
          <w:ilvl w:val="0"/>
          <w:numId w:val="26"/>
        </w:numPr>
      </w:pPr>
      <w:r w:rsidRPr="00E21FA4">
        <w:t>Гарантия на выполненные работы: не менее 1 года.</w:t>
      </w:r>
    </w:p>
    <w:p w14:paraId="79366D8A" w14:textId="77777777" w:rsidR="002E7C58" w:rsidRPr="002E7C58" w:rsidRDefault="002E7C58" w:rsidP="00377E94">
      <w:pPr>
        <w:pStyle w:val="ad"/>
      </w:pPr>
    </w:p>
    <w:sectPr w:rsidR="002E7C58" w:rsidRPr="002E7C58" w:rsidSect="00F565BE">
      <w:footerReference w:type="default" r:id="rId8"/>
      <w:pgSz w:w="11906" w:h="16838"/>
      <w:pgMar w:top="720" w:right="720" w:bottom="720" w:left="851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7D27" w14:textId="77777777" w:rsidR="00EE161C" w:rsidRDefault="00EE161C" w:rsidP="00EE161C">
      <w:pPr>
        <w:spacing w:after="0" w:line="240" w:lineRule="auto"/>
      </w:pPr>
      <w:r>
        <w:separator/>
      </w:r>
    </w:p>
  </w:endnote>
  <w:endnote w:type="continuationSeparator" w:id="0">
    <w:p w14:paraId="061AC5A1" w14:textId="77777777" w:rsidR="00EE161C" w:rsidRDefault="00EE161C" w:rsidP="00EE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076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0B5B3" w14:textId="47411859" w:rsidR="00EE161C" w:rsidRDefault="00EE161C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B9394" w14:textId="77777777" w:rsidR="00EE161C" w:rsidRDefault="00EE161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C874" w14:textId="77777777" w:rsidR="00EE161C" w:rsidRDefault="00EE161C" w:rsidP="00EE161C">
      <w:pPr>
        <w:spacing w:after="0" w:line="240" w:lineRule="auto"/>
      </w:pPr>
      <w:r>
        <w:separator/>
      </w:r>
    </w:p>
  </w:footnote>
  <w:footnote w:type="continuationSeparator" w:id="0">
    <w:p w14:paraId="49A5DAD6" w14:textId="77777777" w:rsidR="00EE161C" w:rsidRDefault="00EE161C" w:rsidP="00EE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F86"/>
    <w:multiLevelType w:val="multilevel"/>
    <w:tmpl w:val="6DE2F6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C0569"/>
    <w:multiLevelType w:val="multilevel"/>
    <w:tmpl w:val="7E2CD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D3F50"/>
    <w:multiLevelType w:val="hybridMultilevel"/>
    <w:tmpl w:val="3F0AF158"/>
    <w:lvl w:ilvl="0" w:tplc="B3AEB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E3F26"/>
    <w:multiLevelType w:val="multilevel"/>
    <w:tmpl w:val="B8FE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857"/>
    <w:multiLevelType w:val="multilevel"/>
    <w:tmpl w:val="1DEE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82A30"/>
    <w:multiLevelType w:val="multilevel"/>
    <w:tmpl w:val="50BCB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575CC"/>
    <w:multiLevelType w:val="multilevel"/>
    <w:tmpl w:val="CDD0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A4161"/>
    <w:multiLevelType w:val="multilevel"/>
    <w:tmpl w:val="D146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7142D"/>
    <w:multiLevelType w:val="multilevel"/>
    <w:tmpl w:val="8ED4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948F2"/>
    <w:multiLevelType w:val="multilevel"/>
    <w:tmpl w:val="48F2C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D5E20"/>
    <w:multiLevelType w:val="multilevel"/>
    <w:tmpl w:val="9B688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C6598"/>
    <w:multiLevelType w:val="multilevel"/>
    <w:tmpl w:val="7DCC7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13804"/>
    <w:multiLevelType w:val="multilevel"/>
    <w:tmpl w:val="728CC9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9509E"/>
    <w:multiLevelType w:val="multilevel"/>
    <w:tmpl w:val="0E9AA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B12CE8"/>
    <w:multiLevelType w:val="multilevel"/>
    <w:tmpl w:val="0F9C45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723B5"/>
    <w:multiLevelType w:val="multilevel"/>
    <w:tmpl w:val="36A6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7581F"/>
    <w:multiLevelType w:val="multilevel"/>
    <w:tmpl w:val="C98213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03552"/>
    <w:multiLevelType w:val="multilevel"/>
    <w:tmpl w:val="961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001FC"/>
    <w:multiLevelType w:val="multilevel"/>
    <w:tmpl w:val="8F7C19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406ABB"/>
    <w:multiLevelType w:val="multilevel"/>
    <w:tmpl w:val="B69A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867CFA"/>
    <w:multiLevelType w:val="multilevel"/>
    <w:tmpl w:val="97A8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F3C3E"/>
    <w:multiLevelType w:val="multilevel"/>
    <w:tmpl w:val="BDA8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4F71CC"/>
    <w:multiLevelType w:val="multilevel"/>
    <w:tmpl w:val="0474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436774"/>
    <w:multiLevelType w:val="multilevel"/>
    <w:tmpl w:val="D5B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26067"/>
    <w:multiLevelType w:val="hybridMultilevel"/>
    <w:tmpl w:val="DBACD02E"/>
    <w:lvl w:ilvl="0" w:tplc="10CCD7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825FB"/>
    <w:multiLevelType w:val="multilevel"/>
    <w:tmpl w:val="8F78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9D389E"/>
    <w:multiLevelType w:val="multilevel"/>
    <w:tmpl w:val="7438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695D0E"/>
    <w:multiLevelType w:val="multilevel"/>
    <w:tmpl w:val="4712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F90C42"/>
    <w:multiLevelType w:val="multilevel"/>
    <w:tmpl w:val="95BC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FD122C"/>
    <w:multiLevelType w:val="multilevel"/>
    <w:tmpl w:val="BEA4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E663E"/>
    <w:multiLevelType w:val="multilevel"/>
    <w:tmpl w:val="453C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681639">
    <w:abstractNumId w:val="15"/>
  </w:num>
  <w:num w:numId="2" w16cid:durableId="470293609">
    <w:abstractNumId w:val="8"/>
  </w:num>
  <w:num w:numId="3" w16cid:durableId="2036032956">
    <w:abstractNumId w:val="4"/>
  </w:num>
  <w:num w:numId="4" w16cid:durableId="228806336">
    <w:abstractNumId w:val="12"/>
  </w:num>
  <w:num w:numId="5" w16cid:durableId="502745211">
    <w:abstractNumId w:val="26"/>
  </w:num>
  <w:num w:numId="6" w16cid:durableId="133186969">
    <w:abstractNumId w:val="22"/>
  </w:num>
  <w:num w:numId="7" w16cid:durableId="1852912413">
    <w:abstractNumId w:val="19"/>
  </w:num>
  <w:num w:numId="8" w16cid:durableId="308478702">
    <w:abstractNumId w:val="5"/>
  </w:num>
  <w:num w:numId="9" w16cid:durableId="1055154312">
    <w:abstractNumId w:val="7"/>
  </w:num>
  <w:num w:numId="10" w16cid:durableId="300114506">
    <w:abstractNumId w:val="10"/>
  </w:num>
  <w:num w:numId="11" w16cid:durableId="1861234922">
    <w:abstractNumId w:val="27"/>
  </w:num>
  <w:num w:numId="12" w16cid:durableId="1821770404">
    <w:abstractNumId w:val="16"/>
  </w:num>
  <w:num w:numId="13" w16cid:durableId="743796427">
    <w:abstractNumId w:val="3"/>
  </w:num>
  <w:num w:numId="14" w16cid:durableId="1347946545">
    <w:abstractNumId w:val="25"/>
  </w:num>
  <w:num w:numId="15" w16cid:durableId="1351025645">
    <w:abstractNumId w:val="30"/>
  </w:num>
  <w:num w:numId="16" w16cid:durableId="114561672">
    <w:abstractNumId w:val="20"/>
  </w:num>
  <w:num w:numId="17" w16cid:durableId="536283575">
    <w:abstractNumId w:val="11"/>
  </w:num>
  <w:num w:numId="18" w16cid:durableId="634338181">
    <w:abstractNumId w:val="21"/>
  </w:num>
  <w:num w:numId="19" w16cid:durableId="334303901">
    <w:abstractNumId w:val="6"/>
  </w:num>
  <w:num w:numId="20" w16cid:durableId="715852941">
    <w:abstractNumId w:val="17"/>
  </w:num>
  <w:num w:numId="21" w16cid:durableId="882982155">
    <w:abstractNumId w:val="13"/>
  </w:num>
  <w:num w:numId="22" w16cid:durableId="352609333">
    <w:abstractNumId w:val="0"/>
  </w:num>
  <w:num w:numId="23" w16cid:durableId="1170676141">
    <w:abstractNumId w:val="1"/>
  </w:num>
  <w:num w:numId="24" w16cid:durableId="1253509762">
    <w:abstractNumId w:val="14"/>
  </w:num>
  <w:num w:numId="25" w16cid:durableId="600141424">
    <w:abstractNumId w:val="18"/>
  </w:num>
  <w:num w:numId="26" w16cid:durableId="520166064">
    <w:abstractNumId w:val="9"/>
  </w:num>
  <w:num w:numId="27" w16cid:durableId="80101828">
    <w:abstractNumId w:val="28"/>
  </w:num>
  <w:num w:numId="28" w16cid:durableId="1569802840">
    <w:abstractNumId w:val="29"/>
  </w:num>
  <w:num w:numId="29" w16cid:durableId="240525566">
    <w:abstractNumId w:val="23"/>
  </w:num>
  <w:num w:numId="30" w16cid:durableId="1536843867">
    <w:abstractNumId w:val="2"/>
  </w:num>
  <w:num w:numId="31" w16cid:durableId="7287259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58"/>
    <w:rsid w:val="0016373C"/>
    <w:rsid w:val="00222CBD"/>
    <w:rsid w:val="002E7C58"/>
    <w:rsid w:val="00322231"/>
    <w:rsid w:val="0035015B"/>
    <w:rsid w:val="00377E94"/>
    <w:rsid w:val="003A4B8D"/>
    <w:rsid w:val="003A4DC8"/>
    <w:rsid w:val="004B52A4"/>
    <w:rsid w:val="005062A0"/>
    <w:rsid w:val="00547589"/>
    <w:rsid w:val="0066639A"/>
    <w:rsid w:val="00866935"/>
    <w:rsid w:val="008B3E41"/>
    <w:rsid w:val="00AB0B3A"/>
    <w:rsid w:val="00AE4C04"/>
    <w:rsid w:val="00B16A83"/>
    <w:rsid w:val="00B937C7"/>
    <w:rsid w:val="00B95BE9"/>
    <w:rsid w:val="00C2296A"/>
    <w:rsid w:val="00C30B5C"/>
    <w:rsid w:val="00C33714"/>
    <w:rsid w:val="00E21FA4"/>
    <w:rsid w:val="00EE161C"/>
    <w:rsid w:val="00F54AF2"/>
    <w:rsid w:val="00F565BE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DF991"/>
  <w15:chartTrackingRefBased/>
  <w15:docId w15:val="{2CAC4845-9A49-4D49-AD4C-164A070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7C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7C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7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7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7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7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7C58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8"/>
    <w:uiPriority w:val="34"/>
    <w:qFormat/>
    <w:rsid w:val="002E7C5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E7C5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E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E7C5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E7C58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2E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547589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7"/>
    <w:uiPriority w:val="34"/>
    <w:qFormat/>
    <w:locked/>
    <w:rsid w:val="00E21FA4"/>
  </w:style>
  <w:style w:type="paragraph" w:styleId="af">
    <w:name w:val="header"/>
    <w:basedOn w:val="a"/>
    <w:link w:val="af0"/>
    <w:uiPriority w:val="99"/>
    <w:unhideWhenUsed/>
    <w:rsid w:val="00EE1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E161C"/>
  </w:style>
  <w:style w:type="paragraph" w:styleId="af1">
    <w:name w:val="footer"/>
    <w:basedOn w:val="a"/>
    <w:link w:val="af2"/>
    <w:uiPriority w:val="99"/>
    <w:unhideWhenUsed/>
    <w:rsid w:val="00EE1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E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F53308-2F20-FF42-8AD7-EB689441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Drachev</dc:creator>
  <cp:keywords/>
  <dc:description/>
  <cp:lastModifiedBy>vilenajob@yandex.ru</cp:lastModifiedBy>
  <cp:revision>18</cp:revision>
  <dcterms:created xsi:type="dcterms:W3CDTF">2025-05-07T09:09:00Z</dcterms:created>
  <dcterms:modified xsi:type="dcterms:W3CDTF">2025-05-08T13:21:00Z</dcterms:modified>
</cp:coreProperties>
</file>