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55846FB7" w14:textId="7D9EF5AD" w:rsidR="00036AE7"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036AE7">
        <w:rPr>
          <w:rFonts w:cs="Arial"/>
          <w:szCs w:val="20"/>
        </w:rPr>
        <w:t>на поставку</w:t>
      </w:r>
      <w:r w:rsidR="00EC40DC">
        <w:rPr>
          <w:rFonts w:cs="Arial"/>
          <w:szCs w:val="20"/>
        </w:rPr>
        <w:t xml:space="preserve"> </w:t>
      </w:r>
      <w:r w:rsidR="00857B3B">
        <w:rPr>
          <w:rFonts w:cs="Arial"/>
          <w:szCs w:val="20"/>
        </w:rPr>
        <w:t>международных банковских</w:t>
      </w:r>
    </w:p>
    <w:p w14:paraId="25347E25" w14:textId="11DD347F" w:rsidR="00A16F75" w:rsidRPr="00C91F4A" w:rsidRDefault="00857B3B" w:rsidP="00B37FFE">
      <w:pPr>
        <w:spacing w:after="0" w:line="240" w:lineRule="auto"/>
        <w:rPr>
          <w:rFonts w:cs="Arial"/>
          <w:szCs w:val="20"/>
        </w:rPr>
      </w:pPr>
      <w:r>
        <w:rPr>
          <w:rFonts w:cs="Arial"/>
          <w:szCs w:val="20"/>
        </w:rPr>
        <w:t>пластиковых карт</w:t>
      </w:r>
      <w:r w:rsidR="00C91F4A" w:rsidRPr="00C91F4A">
        <w:rPr>
          <w:rFonts w:cs="Arial"/>
          <w:szCs w:val="20"/>
        </w:rPr>
        <w:t xml:space="preserve"> </w:t>
      </w:r>
      <w:r w:rsidR="00036AE7">
        <w:rPr>
          <w:rFonts w:cs="Arial"/>
          <w:szCs w:val="20"/>
          <w:lang w:val="en-US"/>
        </w:rPr>
        <w:t>VISA</w:t>
      </w:r>
      <w:r w:rsidR="00036AE7" w:rsidRPr="0053618A">
        <w:rPr>
          <w:rFonts w:cs="Arial"/>
          <w:szCs w:val="20"/>
        </w:rPr>
        <w:t xml:space="preserve"> Rewards</w:t>
      </w:r>
      <w:r w:rsidR="00036AE7" w:rsidRPr="00C91F4A">
        <w:rPr>
          <w:rFonts w:cs="Arial"/>
          <w:szCs w:val="20"/>
        </w:rPr>
        <w:t xml:space="preserve"> </w:t>
      </w:r>
      <w:r w:rsidR="00370C08" w:rsidRPr="00C91F4A">
        <w:rPr>
          <w:rFonts w:cs="Arial"/>
          <w:szCs w:val="20"/>
        </w:rPr>
        <w:t>д</w:t>
      </w:r>
      <w:r w:rsidR="00B37FFE" w:rsidRPr="00C91F4A">
        <w:rPr>
          <w:rFonts w:cs="Arial"/>
          <w:szCs w:val="20"/>
        </w:rPr>
        <w:t>ля АКБ «Hamkorbank»</w:t>
      </w:r>
    </w:p>
    <w:p w14:paraId="2E78A8F6" w14:textId="62A2928E" w:rsidR="00382D4D" w:rsidRDefault="00382D4D" w:rsidP="00A16F75">
      <w:pPr>
        <w:spacing w:after="0" w:line="240" w:lineRule="auto"/>
        <w:rPr>
          <w:rFonts w:cs="Arial"/>
          <w:szCs w:val="20"/>
        </w:rPr>
      </w:pPr>
      <w:r w:rsidRPr="00C91F4A">
        <w:rPr>
          <w:rFonts w:cs="Arial"/>
          <w:szCs w:val="20"/>
        </w:rPr>
        <w:t>от «</w:t>
      </w:r>
      <w:r w:rsidR="00113253">
        <w:rPr>
          <w:rFonts w:cs="Arial"/>
          <w:szCs w:val="20"/>
        </w:rPr>
        <w:t>___</w:t>
      </w:r>
      <w:r w:rsidRPr="00C91F4A">
        <w:rPr>
          <w:rFonts w:cs="Arial"/>
          <w:szCs w:val="20"/>
        </w:rPr>
        <w:t xml:space="preserve">» </w:t>
      </w:r>
      <w:r w:rsidR="00073CF6">
        <w:rPr>
          <w:rFonts w:cs="Arial"/>
          <w:szCs w:val="20"/>
        </w:rPr>
        <w:t>января</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36C885A0"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sidRPr="00036AE7">
        <w:rPr>
          <w:rFonts w:cs="Arial"/>
          <w:bCs/>
          <w:szCs w:val="20"/>
        </w:rPr>
        <w:t>поставку</w:t>
      </w:r>
      <w:r w:rsidR="00036AE7">
        <w:rPr>
          <w:rFonts w:cs="Arial"/>
          <w:bCs/>
          <w:szCs w:val="20"/>
        </w:rPr>
        <w:t xml:space="preserve"> </w:t>
      </w:r>
      <w:r w:rsidR="00036AE7" w:rsidRPr="00036AE7">
        <w:rPr>
          <w:rFonts w:cs="Arial"/>
          <w:bCs/>
          <w:szCs w:val="20"/>
        </w:rPr>
        <w:t>м</w:t>
      </w:r>
      <w:r w:rsidR="004448B7" w:rsidRPr="00036AE7">
        <w:rPr>
          <w:rFonts w:cs="Arial"/>
          <w:bCs/>
          <w:szCs w:val="20"/>
        </w:rPr>
        <w:t>еждународны</w:t>
      </w:r>
      <w:r w:rsidR="00036AE7" w:rsidRPr="00036AE7">
        <w:rPr>
          <w:rFonts w:cs="Arial"/>
          <w:bCs/>
          <w:szCs w:val="20"/>
        </w:rPr>
        <w:t>х</w:t>
      </w:r>
      <w:r w:rsidR="00036AE7">
        <w:rPr>
          <w:rFonts w:cs="Arial"/>
          <w:bCs/>
          <w:szCs w:val="20"/>
        </w:rPr>
        <w:t xml:space="preserve"> </w:t>
      </w:r>
      <w:r w:rsidR="004448B7" w:rsidRPr="00036AE7">
        <w:rPr>
          <w:rFonts w:cs="Arial"/>
          <w:bCs/>
          <w:szCs w:val="20"/>
        </w:rPr>
        <w:t>банковские пластиковые карт</w:t>
      </w:r>
      <w:r w:rsidR="00036AE7" w:rsidRPr="00036AE7">
        <w:rPr>
          <w:rFonts w:cs="Arial"/>
          <w:bCs/>
          <w:szCs w:val="20"/>
        </w:rPr>
        <w:t xml:space="preserve"> </w:t>
      </w:r>
      <w:r w:rsidR="00036AE7" w:rsidRPr="00036AE7">
        <w:rPr>
          <w:rFonts w:cs="Arial"/>
          <w:bCs/>
          <w:szCs w:val="20"/>
        </w:rPr>
        <w:t>VISA Rewards</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37835AB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965DEF" w:rsidRPr="00631405">
        <w:rPr>
          <w:b/>
          <w:bCs/>
          <w:szCs w:val="20"/>
          <w:u w:val="single"/>
        </w:rPr>
        <w:t>международных банковских пластиковых карт</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p>
    <w:p w14:paraId="2CF367F5" w14:textId="35A547B7" w:rsidR="00CD48D0" w:rsidRDefault="00A276F2" w:rsidP="00FE7CE9">
      <w:pPr>
        <w:pStyle w:val="21"/>
        <w:spacing w:before="0" w:line="240" w:lineRule="auto"/>
        <w:ind w:left="357" w:hanging="357"/>
        <w:jc w:val="center"/>
        <w:rPr>
          <w:szCs w:val="20"/>
        </w:rPr>
      </w:pPr>
      <w:r>
        <w:rPr>
          <w:b/>
          <w:szCs w:val="20"/>
          <w:u w:val="single"/>
        </w:rPr>
        <w:t>товаров</w:t>
      </w:r>
      <w:r w:rsidR="00FE7CE9" w:rsidRPr="00E000E7">
        <w:rPr>
          <w:b/>
          <w:szCs w:val="20"/>
          <w:u w:val="single"/>
        </w:rPr>
        <w:t>, работ и услуг</w:t>
      </w:r>
      <w:r w:rsidR="00FE7CE9" w:rsidRPr="00E000E7">
        <w:rPr>
          <w:b/>
          <w:szCs w:val="20"/>
        </w:rPr>
        <w:t xml:space="preserve"> </w:t>
      </w:r>
      <w:r w:rsidR="00FE7CE9">
        <w:rPr>
          <w:szCs w:val="20"/>
        </w:rPr>
        <w:t>(</w:t>
      </w:r>
      <w:r w:rsidR="00FE7CE9" w:rsidRPr="00FE7CE9">
        <w:rPr>
          <w:rFonts w:eastAsiaTheme="minorHAnsi"/>
          <w:bCs/>
          <w:i/>
          <w:sz w:val="18"/>
          <w:szCs w:val="20"/>
          <w:highlight w:val="lightGray"/>
        </w:rPr>
        <w:t>оставить соответствующее</w:t>
      </w:r>
      <w:r w:rsidR="00FE7CE9">
        <w:rPr>
          <w:szCs w:val="20"/>
        </w:rPr>
        <w:t>)</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677" w:type="dxa"/>
        <w:tblInd w:w="-147" w:type="dxa"/>
        <w:tblLayout w:type="fixed"/>
        <w:tblLook w:val="04A0" w:firstRow="1" w:lastRow="0" w:firstColumn="1" w:lastColumn="0" w:noHBand="0" w:noVBand="1"/>
      </w:tblPr>
      <w:tblGrid>
        <w:gridCol w:w="538"/>
        <w:gridCol w:w="3898"/>
        <w:gridCol w:w="672"/>
        <w:gridCol w:w="1075"/>
        <w:gridCol w:w="1747"/>
        <w:gridCol w:w="1747"/>
      </w:tblGrid>
      <w:tr w:rsidR="00374E91" w:rsidRPr="00DC2099" w14:paraId="149F6C47" w14:textId="77777777" w:rsidTr="00036AE7">
        <w:trPr>
          <w:trHeight w:val="351"/>
        </w:trPr>
        <w:tc>
          <w:tcPr>
            <w:tcW w:w="53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3898" w:type="dxa"/>
          </w:tcPr>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672"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1075"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6E7C8075" w14:textId="77777777" w:rsidR="00036AE7" w:rsidRDefault="0058047A" w:rsidP="00DC2099">
            <w:pPr>
              <w:tabs>
                <w:tab w:val="left" w:pos="0"/>
              </w:tabs>
              <w:ind w:right="-107" w:hanging="110"/>
              <w:jc w:val="center"/>
              <w:rPr>
                <w:rFonts w:cs="Arial"/>
                <w:b/>
                <w:sz w:val="18"/>
                <w:szCs w:val="20"/>
                <w:lang w:val="en-US"/>
              </w:rPr>
            </w:pPr>
            <w:r w:rsidRPr="00DC2099">
              <w:rPr>
                <w:rFonts w:cs="Arial"/>
                <w:b/>
                <w:sz w:val="18"/>
                <w:szCs w:val="20"/>
              </w:rPr>
              <w:t>Коли</w:t>
            </w:r>
            <w:r w:rsidR="00374E91">
              <w:rPr>
                <w:rFonts w:cs="Arial"/>
                <w:b/>
                <w:sz w:val="18"/>
                <w:szCs w:val="20"/>
                <w:lang w:val="en-US"/>
              </w:rPr>
              <w:t>-</w:t>
            </w:r>
          </w:p>
          <w:p w14:paraId="10C42EE1" w14:textId="3604BABC"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 xml:space="preserve">чество </w:t>
            </w:r>
          </w:p>
        </w:tc>
        <w:tc>
          <w:tcPr>
            <w:tcW w:w="1747"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2805789C"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747" w:type="dxa"/>
          </w:tcPr>
          <w:p w14:paraId="0F5A41EA" w14:textId="480EA76C"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857B3B" w:rsidRPr="0058047A" w14:paraId="5FA50199" w14:textId="77777777" w:rsidTr="00036AE7">
        <w:trPr>
          <w:trHeight w:val="116"/>
        </w:trPr>
        <w:tc>
          <w:tcPr>
            <w:tcW w:w="538" w:type="dxa"/>
          </w:tcPr>
          <w:p w14:paraId="31D22BFD" w14:textId="54DE6679" w:rsidR="00857B3B" w:rsidRPr="00DC2099" w:rsidRDefault="00857B3B" w:rsidP="00857B3B">
            <w:pPr>
              <w:tabs>
                <w:tab w:val="left" w:pos="0"/>
              </w:tabs>
              <w:jc w:val="center"/>
              <w:rPr>
                <w:rFonts w:cs="Arial"/>
                <w:bCs/>
                <w:szCs w:val="20"/>
              </w:rPr>
            </w:pPr>
            <w:r w:rsidRPr="00DC2099">
              <w:rPr>
                <w:rFonts w:cs="Arial"/>
                <w:bCs/>
                <w:szCs w:val="20"/>
              </w:rPr>
              <w:t>1</w:t>
            </w:r>
          </w:p>
        </w:tc>
        <w:tc>
          <w:tcPr>
            <w:tcW w:w="3898" w:type="dxa"/>
          </w:tcPr>
          <w:p w14:paraId="66EE4AD8" w14:textId="00EF671C" w:rsidR="00857B3B" w:rsidRPr="003C06EF" w:rsidRDefault="00857B3B" w:rsidP="00857B3B">
            <w:pPr>
              <w:tabs>
                <w:tab w:val="left" w:pos="0"/>
              </w:tabs>
              <w:rPr>
                <w:rFonts w:eastAsia="Times New Roman" w:cs="Arial"/>
                <w:color w:val="000000"/>
                <w:szCs w:val="20"/>
                <w:lang w:val="uz-Cyrl-UZ" w:eastAsia="ru-RU"/>
              </w:rPr>
            </w:pPr>
            <w:r w:rsidRPr="004448B7">
              <w:rPr>
                <w:rFonts w:eastAsia="Times New Roman" w:cs="Arial"/>
                <w:color w:val="000000"/>
                <w:szCs w:val="20"/>
                <w:lang w:eastAsia="ru-RU"/>
              </w:rPr>
              <w:t>Международные банковские пластиковые карты</w:t>
            </w:r>
            <w:r>
              <w:rPr>
                <w:rFonts w:eastAsia="Times New Roman" w:cs="Arial"/>
                <w:color w:val="000000"/>
                <w:szCs w:val="20"/>
                <w:lang w:eastAsia="ru-RU"/>
              </w:rPr>
              <w:t xml:space="preserve"> - </w:t>
            </w:r>
            <w:r w:rsidRPr="00631405">
              <w:rPr>
                <w:rFonts w:eastAsia="Times New Roman" w:cs="Arial"/>
                <w:b/>
                <w:bCs/>
                <w:color w:val="000000"/>
                <w:szCs w:val="20"/>
                <w:lang w:eastAsia="ru-RU"/>
              </w:rPr>
              <w:t>VISA Rewards</w:t>
            </w:r>
          </w:p>
        </w:tc>
        <w:tc>
          <w:tcPr>
            <w:tcW w:w="672" w:type="dxa"/>
            <w:vAlign w:val="center"/>
          </w:tcPr>
          <w:p w14:paraId="5EBA3AAD" w14:textId="571DF0D8" w:rsidR="00857B3B" w:rsidRDefault="00857B3B" w:rsidP="00857B3B">
            <w:pPr>
              <w:tabs>
                <w:tab w:val="left" w:pos="0"/>
              </w:tabs>
              <w:rPr>
                <w:rFonts w:cs="Arial"/>
                <w:bCs/>
                <w:szCs w:val="20"/>
              </w:rPr>
            </w:pPr>
            <w:r>
              <w:rPr>
                <w:rFonts w:cs="Arial"/>
                <w:bCs/>
                <w:szCs w:val="20"/>
              </w:rPr>
              <w:t>Шт.</w:t>
            </w:r>
          </w:p>
        </w:tc>
        <w:tc>
          <w:tcPr>
            <w:tcW w:w="1075" w:type="dxa"/>
            <w:vAlign w:val="center"/>
          </w:tcPr>
          <w:p w14:paraId="2969E281" w14:textId="5B4AF373" w:rsidR="00857B3B" w:rsidRPr="00EE2954" w:rsidRDefault="00857B3B" w:rsidP="00857B3B">
            <w:pPr>
              <w:tabs>
                <w:tab w:val="left" w:pos="0"/>
              </w:tabs>
              <w:jc w:val="center"/>
              <w:rPr>
                <w:rFonts w:cs="Arial"/>
                <w:bCs/>
                <w:szCs w:val="20"/>
              </w:rPr>
            </w:pPr>
            <w:r>
              <w:rPr>
                <w:rFonts w:cs="Arial"/>
                <w:bCs/>
                <w:szCs w:val="20"/>
              </w:rPr>
              <w:t>500 000</w:t>
            </w:r>
          </w:p>
        </w:tc>
        <w:tc>
          <w:tcPr>
            <w:tcW w:w="1747" w:type="dxa"/>
            <w:shd w:val="clear" w:color="auto" w:fill="auto"/>
            <w:vAlign w:val="center"/>
          </w:tcPr>
          <w:p w14:paraId="5E2338AB" w14:textId="411A3549" w:rsidR="00857B3B" w:rsidRPr="00E61612" w:rsidRDefault="00857B3B" w:rsidP="00857B3B">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747" w:type="dxa"/>
            <w:shd w:val="clear" w:color="auto" w:fill="auto"/>
            <w:vAlign w:val="center"/>
          </w:tcPr>
          <w:p w14:paraId="0841CEBE" w14:textId="257B0E0F" w:rsidR="00857B3B" w:rsidRPr="00E61612" w:rsidRDefault="00857B3B" w:rsidP="00857B3B">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857B3B" w:rsidRPr="0058047A" w14:paraId="5982C6D4" w14:textId="77777777" w:rsidTr="00036AE7">
        <w:trPr>
          <w:trHeight w:val="116"/>
        </w:trPr>
        <w:tc>
          <w:tcPr>
            <w:tcW w:w="538" w:type="dxa"/>
          </w:tcPr>
          <w:p w14:paraId="583B3BB9" w14:textId="571539FE" w:rsidR="00857B3B" w:rsidRPr="00DC2099" w:rsidRDefault="00857B3B" w:rsidP="00857B3B">
            <w:pPr>
              <w:tabs>
                <w:tab w:val="left" w:pos="0"/>
              </w:tabs>
              <w:jc w:val="center"/>
              <w:rPr>
                <w:rFonts w:cs="Arial"/>
                <w:bCs/>
                <w:szCs w:val="20"/>
              </w:rPr>
            </w:pPr>
          </w:p>
        </w:tc>
        <w:tc>
          <w:tcPr>
            <w:tcW w:w="3898" w:type="dxa"/>
          </w:tcPr>
          <w:p w14:paraId="736F0CAF" w14:textId="1DCCDBB4" w:rsidR="00857B3B" w:rsidRPr="00E61612" w:rsidRDefault="00857B3B" w:rsidP="00857B3B">
            <w:pPr>
              <w:tabs>
                <w:tab w:val="left" w:pos="0"/>
              </w:tabs>
              <w:rPr>
                <w:rFonts w:eastAsia="Times New Roman" w:cs="Arial"/>
                <w:color w:val="000000"/>
                <w:szCs w:val="20"/>
                <w:lang w:eastAsia="ru-RU"/>
              </w:rPr>
            </w:pPr>
          </w:p>
        </w:tc>
        <w:tc>
          <w:tcPr>
            <w:tcW w:w="672" w:type="dxa"/>
            <w:vAlign w:val="center"/>
          </w:tcPr>
          <w:p w14:paraId="064685AC" w14:textId="637BC1F6" w:rsidR="00857B3B" w:rsidRDefault="00857B3B" w:rsidP="00857B3B">
            <w:pPr>
              <w:tabs>
                <w:tab w:val="left" w:pos="0"/>
              </w:tabs>
              <w:jc w:val="center"/>
              <w:rPr>
                <w:rFonts w:cs="Arial"/>
                <w:bCs/>
                <w:szCs w:val="20"/>
              </w:rPr>
            </w:pPr>
          </w:p>
        </w:tc>
        <w:tc>
          <w:tcPr>
            <w:tcW w:w="1075" w:type="dxa"/>
            <w:vAlign w:val="center"/>
          </w:tcPr>
          <w:p w14:paraId="5A82C0C5" w14:textId="56039BC5" w:rsidR="00857B3B" w:rsidRPr="004448B7" w:rsidRDefault="00857B3B" w:rsidP="00857B3B">
            <w:pPr>
              <w:tabs>
                <w:tab w:val="left" w:pos="0"/>
              </w:tabs>
              <w:jc w:val="center"/>
              <w:rPr>
                <w:rFonts w:cs="Arial"/>
                <w:bCs/>
                <w:szCs w:val="20"/>
              </w:rPr>
            </w:pPr>
          </w:p>
        </w:tc>
        <w:tc>
          <w:tcPr>
            <w:tcW w:w="1747" w:type="dxa"/>
            <w:shd w:val="clear" w:color="auto" w:fill="auto"/>
            <w:vAlign w:val="center"/>
          </w:tcPr>
          <w:p w14:paraId="652A22A0" w14:textId="625E482C" w:rsidR="00857B3B" w:rsidRPr="00E61612" w:rsidRDefault="00857B3B" w:rsidP="00857B3B">
            <w:pPr>
              <w:tabs>
                <w:tab w:val="left" w:pos="0"/>
              </w:tabs>
              <w:jc w:val="center"/>
              <w:rPr>
                <w:rFonts w:cs="Arial"/>
                <w:bCs/>
                <w:iCs/>
                <w:szCs w:val="20"/>
                <w:highlight w:val="darkGray"/>
              </w:rPr>
            </w:pPr>
          </w:p>
        </w:tc>
        <w:tc>
          <w:tcPr>
            <w:tcW w:w="1747" w:type="dxa"/>
            <w:shd w:val="clear" w:color="auto" w:fill="auto"/>
            <w:vAlign w:val="center"/>
          </w:tcPr>
          <w:p w14:paraId="1C7F44E5" w14:textId="7CD7156F" w:rsidR="00857B3B" w:rsidRPr="00E61612" w:rsidRDefault="00857B3B" w:rsidP="00857B3B">
            <w:pPr>
              <w:tabs>
                <w:tab w:val="left" w:pos="0"/>
              </w:tabs>
              <w:jc w:val="center"/>
              <w:rPr>
                <w:rFonts w:cs="Arial"/>
                <w:bCs/>
                <w:iCs/>
                <w:szCs w:val="20"/>
                <w:highlight w:val="darkGray"/>
              </w:rPr>
            </w:pPr>
          </w:p>
        </w:tc>
      </w:tr>
      <w:tr w:rsidR="00857B3B" w:rsidRPr="00DC2099" w14:paraId="43380A15" w14:textId="77777777" w:rsidTr="00036AE7">
        <w:trPr>
          <w:trHeight w:val="348"/>
        </w:trPr>
        <w:tc>
          <w:tcPr>
            <w:tcW w:w="538" w:type="dxa"/>
          </w:tcPr>
          <w:p w14:paraId="6C773CFC" w14:textId="5B1A99D5" w:rsidR="00857B3B" w:rsidRPr="00DC2099" w:rsidRDefault="00857B3B" w:rsidP="00857B3B">
            <w:pPr>
              <w:tabs>
                <w:tab w:val="left" w:pos="0"/>
              </w:tabs>
              <w:jc w:val="both"/>
              <w:rPr>
                <w:rFonts w:cs="Arial"/>
                <w:bCs/>
                <w:szCs w:val="20"/>
              </w:rPr>
            </w:pPr>
          </w:p>
        </w:tc>
        <w:tc>
          <w:tcPr>
            <w:tcW w:w="3898" w:type="dxa"/>
          </w:tcPr>
          <w:p w14:paraId="356B797F" w14:textId="77777777" w:rsidR="00857B3B" w:rsidRPr="00DC2099" w:rsidRDefault="00857B3B" w:rsidP="00857B3B">
            <w:pPr>
              <w:tabs>
                <w:tab w:val="left" w:pos="0"/>
              </w:tabs>
              <w:rPr>
                <w:rFonts w:cs="Arial"/>
                <w:bCs/>
                <w:i/>
                <w:iCs/>
                <w:szCs w:val="20"/>
              </w:rPr>
            </w:pPr>
            <w:r w:rsidRPr="00DC2099">
              <w:rPr>
                <w:rFonts w:cs="Arial"/>
                <w:b/>
                <w:szCs w:val="20"/>
              </w:rPr>
              <w:t>ИТОГО</w:t>
            </w:r>
          </w:p>
        </w:tc>
        <w:tc>
          <w:tcPr>
            <w:tcW w:w="672" w:type="dxa"/>
          </w:tcPr>
          <w:p w14:paraId="7720D0FA" w14:textId="77777777" w:rsidR="00857B3B" w:rsidRPr="00DC2099" w:rsidRDefault="00857B3B" w:rsidP="00857B3B">
            <w:pPr>
              <w:tabs>
                <w:tab w:val="left" w:pos="0"/>
              </w:tabs>
              <w:jc w:val="center"/>
              <w:rPr>
                <w:rFonts w:cs="Arial"/>
                <w:bCs/>
                <w:szCs w:val="20"/>
              </w:rPr>
            </w:pPr>
          </w:p>
        </w:tc>
        <w:tc>
          <w:tcPr>
            <w:tcW w:w="1075" w:type="dxa"/>
          </w:tcPr>
          <w:p w14:paraId="40FE10D7" w14:textId="77777777" w:rsidR="00857B3B" w:rsidRPr="00DC2099" w:rsidRDefault="00857B3B" w:rsidP="00857B3B">
            <w:pPr>
              <w:tabs>
                <w:tab w:val="left" w:pos="0"/>
              </w:tabs>
              <w:jc w:val="center"/>
              <w:rPr>
                <w:rFonts w:cs="Arial"/>
                <w:bCs/>
                <w:szCs w:val="20"/>
              </w:rPr>
            </w:pPr>
          </w:p>
        </w:tc>
        <w:tc>
          <w:tcPr>
            <w:tcW w:w="1747" w:type="dxa"/>
            <w:shd w:val="clear" w:color="auto" w:fill="EAF1DD" w:themeFill="accent3" w:themeFillTint="33"/>
          </w:tcPr>
          <w:p w14:paraId="6DD8D20F" w14:textId="77777777" w:rsidR="00857B3B" w:rsidRPr="00DC2099" w:rsidRDefault="00857B3B" w:rsidP="00857B3B">
            <w:pPr>
              <w:tabs>
                <w:tab w:val="left" w:pos="0"/>
              </w:tabs>
              <w:jc w:val="both"/>
              <w:rPr>
                <w:rFonts w:cs="Arial"/>
                <w:bCs/>
                <w:i/>
                <w:iCs/>
                <w:szCs w:val="20"/>
                <w:highlight w:val="darkGray"/>
              </w:rPr>
            </w:pPr>
          </w:p>
        </w:tc>
        <w:tc>
          <w:tcPr>
            <w:tcW w:w="1747" w:type="dxa"/>
            <w:shd w:val="clear" w:color="auto" w:fill="EAF1DD" w:themeFill="accent3" w:themeFillTint="33"/>
          </w:tcPr>
          <w:p w14:paraId="2F2BED36" w14:textId="77777777" w:rsidR="00857B3B" w:rsidRPr="00DC2099" w:rsidRDefault="00857B3B" w:rsidP="00857B3B">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242C220E" w:rsidR="00974ABB" w:rsidRDefault="00974ABB" w:rsidP="00974ABB">
      <w:pPr>
        <w:tabs>
          <w:tab w:val="left" w:pos="0"/>
        </w:tabs>
        <w:spacing w:after="120" w:line="240" w:lineRule="auto"/>
        <w:jc w:val="both"/>
      </w:pPr>
      <w:r>
        <w:t>Подтверждаем, что предлагаем</w:t>
      </w:r>
      <w:r w:rsidR="00036AE7">
        <w:t>ы</w:t>
      </w:r>
      <w:r>
        <w:t xml:space="preserve">е к поставке </w:t>
      </w:r>
      <w:r w:rsidR="00CB668B">
        <w:t>международные банковские карты</w:t>
      </w:r>
      <w:r w:rsidRPr="00974ABB">
        <w:t xml:space="preserve"> нов</w:t>
      </w:r>
      <w:r w:rsidR="002E152D">
        <w:t>ы</w:t>
      </w:r>
      <w:r w:rsidRPr="00974ABB">
        <w:t>е,</w:t>
      </w:r>
      <w:r w:rsidR="002E152D">
        <w:t xml:space="preserve"> </w:t>
      </w:r>
      <w:r w:rsidR="00CB668B">
        <w:t xml:space="preserve">соответствуют всем требованиям заказчика </w:t>
      </w:r>
      <w:r w:rsidR="002E152D">
        <w:t>и</w:t>
      </w:r>
      <w:r w:rsidRPr="00974ABB">
        <w:t xml:space="preserve"> </w:t>
      </w:r>
      <w:r w:rsidR="00CB668B">
        <w:t xml:space="preserve">изготовлены из высококачественного материала </w:t>
      </w:r>
      <w:r w:rsidR="00CB668B" w:rsidRPr="00CB668B">
        <w:t>с повышенной износостойкостью</w:t>
      </w:r>
      <w:r>
        <w:t>.</w:t>
      </w:r>
    </w:p>
    <w:p w14:paraId="34F95EDB" w14:textId="3F04A006" w:rsidR="00974ABB" w:rsidRPr="00974ABB" w:rsidRDefault="00974ABB" w:rsidP="00974ABB">
      <w:pPr>
        <w:pStyle w:val="21"/>
      </w:pPr>
      <w:r w:rsidRPr="00974ABB">
        <w:rPr>
          <w:b/>
          <w:bCs/>
        </w:rPr>
        <w:t>Срок гарантии</w:t>
      </w:r>
      <w:r>
        <w:t xml:space="preserve"> _____________________________________________</w:t>
      </w:r>
      <w:r>
        <w:rPr>
          <w:szCs w:val="20"/>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p>
    <w:p w14:paraId="46056172" w14:textId="2EA5CC70" w:rsidR="00370C08" w:rsidRPr="00370C08" w:rsidRDefault="004B2184" w:rsidP="00370C08">
      <w:pPr>
        <w:pStyle w:val="21"/>
        <w:spacing w:before="0" w:line="240" w:lineRule="auto"/>
        <w:ind w:left="0" w:firstLine="0"/>
        <w:jc w:val="both"/>
        <w:rPr>
          <w:rFonts w:eastAsiaTheme="minorHAnsi" w:cstheme="minorBidi"/>
          <w:bCs/>
          <w:iCs/>
          <w:szCs w:val="20"/>
        </w:rPr>
      </w:pPr>
      <w:r>
        <w:rPr>
          <w:b/>
          <w:szCs w:val="20"/>
        </w:rPr>
        <w:t>Подтверждаем, о</w:t>
      </w:r>
      <w:r w:rsidRPr="004B2184">
        <w:rPr>
          <w:b/>
          <w:szCs w:val="20"/>
        </w:rPr>
        <w:t>плата производится по факту доставки, после проверки банка качества отгруж</w:t>
      </w:r>
      <w:r>
        <w:rPr>
          <w:b/>
          <w:szCs w:val="20"/>
        </w:rPr>
        <w:t>енно</w:t>
      </w:r>
      <w:r w:rsidRPr="004B2184">
        <w:rPr>
          <w:b/>
          <w:szCs w:val="20"/>
        </w:rPr>
        <w:t>го товара согласно техническому заданию</w:t>
      </w:r>
      <w:r>
        <w:rPr>
          <w:b/>
          <w:szCs w:val="20"/>
        </w:rPr>
        <w:t>.</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28F9C782"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w:t>
      </w:r>
      <w:r w:rsidR="002E132C" w:rsidRPr="007F229D">
        <w:rPr>
          <w:rFonts w:cs="Arial"/>
          <w:szCs w:val="20"/>
        </w:rPr>
        <w:lastRenderedPageBreak/>
        <w:t>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ED83" w14:textId="77777777" w:rsidR="00F670E2" w:rsidRDefault="00F670E2" w:rsidP="004C516D">
      <w:pPr>
        <w:spacing w:after="0" w:line="240" w:lineRule="auto"/>
      </w:pPr>
      <w:r>
        <w:separator/>
      </w:r>
    </w:p>
  </w:endnote>
  <w:endnote w:type="continuationSeparator" w:id="0">
    <w:p w14:paraId="599AF579" w14:textId="77777777" w:rsidR="00F670E2" w:rsidRDefault="00F670E2"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E83A" w14:textId="77777777" w:rsidR="00F670E2" w:rsidRDefault="00F670E2" w:rsidP="004C516D">
      <w:pPr>
        <w:spacing w:after="0" w:line="240" w:lineRule="auto"/>
      </w:pPr>
      <w:r>
        <w:separator/>
      </w:r>
    </w:p>
  </w:footnote>
  <w:footnote w:type="continuationSeparator" w:id="0">
    <w:p w14:paraId="2764FF13" w14:textId="77777777" w:rsidR="00F670E2" w:rsidRDefault="00F670E2"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6AE7"/>
    <w:rsid w:val="00037DDB"/>
    <w:rsid w:val="000421B3"/>
    <w:rsid w:val="000427F1"/>
    <w:rsid w:val="00045275"/>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400D"/>
    <w:rsid w:val="005A646D"/>
    <w:rsid w:val="005B0AB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631"/>
    <w:rsid w:val="006466AC"/>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10F42"/>
    <w:rsid w:val="00911E4F"/>
    <w:rsid w:val="009126D2"/>
    <w:rsid w:val="00915450"/>
    <w:rsid w:val="00917E83"/>
    <w:rsid w:val="00925C2D"/>
    <w:rsid w:val="0092606F"/>
    <w:rsid w:val="00927EC6"/>
    <w:rsid w:val="00933703"/>
    <w:rsid w:val="00940C56"/>
    <w:rsid w:val="00943952"/>
    <w:rsid w:val="009511D2"/>
    <w:rsid w:val="00952A2D"/>
    <w:rsid w:val="00953916"/>
    <w:rsid w:val="00953C04"/>
    <w:rsid w:val="00954EE8"/>
    <w:rsid w:val="00962BA2"/>
    <w:rsid w:val="00965DEF"/>
    <w:rsid w:val="0096777B"/>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670E2"/>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B4C0E"/>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49</cp:revision>
  <cp:lastPrinted>2014-11-21T14:53:00Z</cp:lastPrinted>
  <dcterms:created xsi:type="dcterms:W3CDTF">2025-08-26T04:18:00Z</dcterms:created>
  <dcterms:modified xsi:type="dcterms:W3CDTF">2026-01-23T07:43:00Z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