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before="0" w:line="240" w:lineRule="auto"/>
        <w:ind w:left="357" w:hanging="357"/>
        <w:jc w:val="right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pStyle w:val="Heading2"/>
        <w:spacing w:before="0" w:line="240" w:lineRule="auto"/>
        <w:ind w:left="357" w:hanging="357"/>
        <w:jc w:val="right"/>
        <w:rPr/>
      </w:pPr>
      <w:r w:rsidDel="00000000" w:rsidR="00000000" w:rsidRPr="00000000">
        <w:rPr>
          <w:rtl w:val="0"/>
        </w:rPr>
        <w:t xml:space="preserve">к Конкурсной документации </w:t>
      </w:r>
    </w:p>
    <w:p w:rsidR="00000000" w:rsidDel="00000000" w:rsidP="00000000" w:rsidRDefault="00000000" w:rsidRPr="00000000" w14:paraId="00000003">
      <w:pPr>
        <w:pStyle w:val="Heading3"/>
        <w:spacing w:line="240" w:lineRule="auto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По конкурсу «Внедрение системы дистанционного банковского обслуживания юридических лиц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(инсталляция и внедрение ПО, миграция, техническая поддержка)» 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для АКБ «Hamkorbank»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№ ____от «__» __________ 2024 г. </w:t>
      </w:r>
    </w:p>
    <w:p w:rsidR="00000000" w:rsidDel="00000000" w:rsidP="00000000" w:rsidRDefault="00000000" w:rsidRPr="00000000" w14:paraId="00000008">
      <w:pPr>
        <w:pStyle w:val="Heading2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before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Конкурсное предложение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Уважаемые господа!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1. Изучив документацию о проведении конкурсного отбора на право заключения договора на «Внедрение системы дистанционного банковского обслуживания юридических лиц (инсталляция и внедрение ПО, миграция, техническая поддержка)» для АКБ «Hamkorbank» компания_____________________</w:t>
      </w:r>
      <w:r w:rsidDel="00000000" w:rsidR="00000000" w:rsidRPr="00000000">
        <w:rPr>
          <w:u w:val="single"/>
          <w:rtl w:val="0"/>
        </w:rPr>
        <w:t xml:space="preserve">(</w:t>
      </w:r>
      <w:r w:rsidDel="00000000" w:rsidR="00000000" w:rsidRPr="00000000">
        <w:rPr>
          <w:i w:val="1"/>
          <w:sz w:val="18"/>
          <w:szCs w:val="18"/>
          <w:highlight w:val="lightGray"/>
          <w:u w:val="single"/>
          <w:rtl w:val="0"/>
        </w:rPr>
        <w:t xml:space="preserve">указать организационно-правовую форму и наименование компании</w:t>
      </w:r>
      <w:r w:rsidDel="00000000" w:rsidR="00000000" w:rsidRPr="00000000">
        <w:rPr>
          <w:i w:val="1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  <w:t xml:space="preserve"> в лице _________________</w:t>
      </w:r>
      <w:r w:rsidDel="00000000" w:rsidR="00000000" w:rsidRPr="00000000">
        <w:rPr>
          <w:i w:val="1"/>
          <w:u w:val="single"/>
          <w:rtl w:val="0"/>
        </w:rPr>
        <w:t xml:space="preserve">(</w:t>
      </w:r>
      <w:r w:rsidDel="00000000" w:rsidR="00000000" w:rsidRPr="00000000">
        <w:rPr>
          <w:i w:val="1"/>
          <w:sz w:val="18"/>
          <w:szCs w:val="18"/>
          <w:highlight w:val="lightGray"/>
          <w:u w:val="single"/>
          <w:rtl w:val="0"/>
        </w:rPr>
        <w:t xml:space="preserve">указать должность и Ф.И.О. руководителя/ уполномоченного лица) </w:t>
      </w:r>
      <w:r w:rsidDel="00000000" w:rsidR="00000000" w:rsidRPr="00000000">
        <w:rPr>
          <w:rtl w:val="0"/>
        </w:rPr>
        <w:t xml:space="preserve">сообщает свое согласие заключить договор в полном соответствии с требованиями конкурсной документации и Технического задания на следующих условиях:</w:t>
      </w:r>
    </w:p>
    <w:p w:rsidR="00000000" w:rsidDel="00000000" w:rsidP="00000000" w:rsidRDefault="00000000" w:rsidRPr="00000000" w14:paraId="0000000D">
      <w:pPr>
        <w:pStyle w:val="Heading2"/>
        <w:spacing w:before="0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before="0" w:line="24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Общая стоимость предложения составляет</w:t>
      </w:r>
      <w:r w:rsidDel="00000000" w:rsidR="00000000" w:rsidRPr="00000000">
        <w:rPr>
          <w:i w:val="1"/>
          <w:rtl w:val="0"/>
        </w:rPr>
        <w:t xml:space="preserve">_______________________________(указать валюту долл. США/сум РУз</w:t>
      </w:r>
      <w:r w:rsidDel="00000000" w:rsidR="00000000" w:rsidRPr="00000000">
        <w:rPr>
          <w:i w:val="1"/>
          <w:sz w:val="22"/>
          <w:szCs w:val="22"/>
          <w:rtl w:val="0"/>
        </w:rPr>
        <w:t xml:space="preserve">)</w:t>
      </w:r>
      <w:r w:rsidDel="00000000" w:rsidR="00000000" w:rsidRPr="00000000">
        <w:rPr>
          <w:b w:val="1"/>
          <w:rtl w:val="0"/>
        </w:rPr>
        <w:t xml:space="preserve">, с НДС/НДС не облагается </w:t>
      </w:r>
      <w:r w:rsidDel="00000000" w:rsidR="00000000" w:rsidRPr="00000000">
        <w:rPr>
          <w:i w:val="1"/>
          <w:rtl w:val="0"/>
        </w:rPr>
        <w:t xml:space="preserve">(</w:t>
      </w:r>
      <w:r w:rsidDel="00000000" w:rsidR="00000000" w:rsidRPr="00000000">
        <w:rPr>
          <w:i w:val="1"/>
          <w:sz w:val="18"/>
          <w:szCs w:val="18"/>
          <w:rtl w:val="0"/>
        </w:rPr>
        <w:t xml:space="preserve">оставить соответствующее режиму налогообложения</w:t>
      </w:r>
      <w:r w:rsidDel="00000000" w:rsidR="00000000" w:rsidRPr="00000000">
        <w:rPr>
          <w:i w:val="1"/>
          <w:rtl w:val="0"/>
        </w:rPr>
        <w:t xml:space="preserve">) </w:t>
      </w:r>
      <w:r w:rsidDel="00000000" w:rsidR="00000000" w:rsidRPr="00000000">
        <w:rPr>
          <w:b w:val="1"/>
          <w:rtl w:val="0"/>
        </w:rPr>
        <w:t xml:space="preserve">с разбивкой в Таблице 1.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2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Детализированная расшифровка стоимости ПО (спецификация ПО), работ и услуг представлено в Приложении №1 к Конкурсному предложению.</w:t>
      </w:r>
    </w:p>
    <w:p w:rsidR="00000000" w:rsidDel="00000000" w:rsidP="00000000" w:rsidRDefault="00000000" w:rsidRPr="00000000" w14:paraId="00000010">
      <w:pPr>
        <w:pStyle w:val="Heading2"/>
        <w:spacing w:before="0" w:line="240" w:lineRule="auto"/>
        <w:ind w:left="7788" w:firstLine="0"/>
        <w:jc w:val="both"/>
        <w:rPr/>
      </w:pPr>
      <w:r w:rsidDel="00000000" w:rsidR="00000000" w:rsidRPr="00000000">
        <w:rPr>
          <w:rtl w:val="0"/>
        </w:rPr>
        <w:t xml:space="preserve">       Таблица 1</w:t>
      </w:r>
    </w:p>
    <w:p w:rsidR="00000000" w:rsidDel="00000000" w:rsidP="00000000" w:rsidRDefault="00000000" w:rsidRPr="00000000" w14:paraId="00000011">
      <w:pPr>
        <w:pStyle w:val="Heading2"/>
        <w:spacing w:before="0" w:line="240" w:lineRule="auto"/>
        <w:ind w:left="357" w:hanging="35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Предложение участника по стоимости внедрения «Внедрение системы дистанционного банковского обслуживания юридических лиц производителя_____________(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указать наименование вендора</w:t>
      </w:r>
      <w:r w:rsidDel="00000000" w:rsidR="00000000" w:rsidRPr="00000000">
        <w:rPr>
          <w:b w:val="1"/>
          <w:rtl w:val="0"/>
        </w:rPr>
        <w:t xml:space="preserve">)</w:t>
      </w:r>
    </w:p>
    <w:tbl>
      <w:tblPr>
        <w:tblStyle w:val="Table1"/>
        <w:tblW w:w="9923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3"/>
        <w:gridCol w:w="3888"/>
        <w:gridCol w:w="1077"/>
        <w:gridCol w:w="1108"/>
        <w:gridCol w:w="1713"/>
        <w:gridCol w:w="1714"/>
        <w:tblGridChange w:id="0">
          <w:tblGrid>
            <w:gridCol w:w="423"/>
            <w:gridCol w:w="3888"/>
            <w:gridCol w:w="1077"/>
            <w:gridCol w:w="1108"/>
            <w:gridCol w:w="1713"/>
            <w:gridCol w:w="1714"/>
          </w:tblGrid>
        </w:tblGridChange>
      </w:tblGrid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0"/>
              </w:tabs>
              <w:ind w:right="-10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0"/>
              </w:tabs>
              <w:ind w:right="-109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№ пп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0"/>
              </w:tabs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0"/>
              </w:tabs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0"/>
              </w:tabs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Наименование (описание)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0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0"/>
              </w:tabs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0"/>
              </w:tabs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Ед. измерения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0"/>
              </w:tabs>
              <w:ind w:right="-107" w:hanging="11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0"/>
              </w:tabs>
              <w:ind w:right="-107" w:hanging="11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ind w:right="-107" w:hanging="11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Коли-чество 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ind w:right="-105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Цена за единицу (с учетом НДС/ НДС не облагается </w:t>
            </w:r>
            <w:r w:rsidDel="00000000" w:rsidR="00000000" w:rsidRPr="00000000">
              <w:rPr>
                <w:b w:val="1"/>
                <w:sz w:val="18"/>
                <w:szCs w:val="1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),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ind w:right="-105" w:hanging="11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долл. США/сум РУз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jc w:val="center"/>
              <w:rPr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Стоимость (с учетом НДС/НДС не облагается </w:t>
            </w:r>
            <w:r w:rsidDel="00000000" w:rsidR="00000000" w:rsidRPr="00000000">
              <w:rPr>
                <w:b w:val="1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), долл. США/сум РУз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1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Лицензии/программное обеспечение</w:t>
            </w:r>
            <w:r w:rsidDel="00000000" w:rsidR="00000000" w:rsidRPr="00000000">
              <w:rPr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highlight w:val="lightGray"/>
                <w:rtl w:val="0"/>
              </w:rPr>
              <w:t xml:space="preserve">………(указать наименование и срок действия</w:t>
            </w:r>
            <w:r w:rsidDel="00000000" w:rsidR="00000000" w:rsidRPr="00000000">
              <w:rPr>
                <w:rtl w:val="0"/>
              </w:rPr>
              <w:t xml:space="preserve">) по базовому функционалу СКЭП в расчете на 5 лет </w:t>
            </w:r>
            <w:r w:rsidDel="00000000" w:rsidR="00000000" w:rsidRPr="00000000">
              <w:rPr>
                <w:i w:val="1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0"/>
              </w:tabs>
              <w:ind w:right="-10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Лицен-зия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4"/>
                <w:szCs w:val="14"/>
                <w:highlight w:val="darkGray"/>
                <w:rtl w:val="0"/>
              </w:rPr>
              <w:t xml:space="preserve">Заполняется Участником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0"/>
              </w:tabs>
              <w:jc w:val="center"/>
              <w:rPr>
                <w:i w:val="1"/>
                <w:sz w:val="14"/>
                <w:szCs w:val="14"/>
                <w:highlight w:val="darkGray"/>
              </w:rPr>
            </w:pPr>
            <w:r w:rsidDel="00000000" w:rsidR="00000000" w:rsidRPr="00000000">
              <w:rPr>
                <w:i w:val="1"/>
                <w:sz w:val="14"/>
                <w:szCs w:val="14"/>
                <w:highlight w:val="darkGray"/>
                <w:rtl w:val="0"/>
              </w:rPr>
              <w:t xml:space="preserve">Заполняется Участником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jc w:val="center"/>
              <w:rPr>
                <w:i w:val="1"/>
                <w:sz w:val="14"/>
                <w:szCs w:val="14"/>
                <w:highlight w:val="darkGray"/>
              </w:rPr>
            </w:pPr>
            <w:r w:rsidDel="00000000" w:rsidR="00000000" w:rsidRPr="00000000">
              <w:rPr>
                <w:i w:val="1"/>
                <w:sz w:val="14"/>
                <w:szCs w:val="14"/>
                <w:highlight w:val="darkGray"/>
                <w:rtl w:val="0"/>
              </w:rPr>
              <w:t xml:space="preserve">Заполняется Участником</w:t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Лицензии/программное обеспечение</w:t>
            </w:r>
            <w:r w:rsidDel="00000000" w:rsidR="00000000" w:rsidRPr="00000000">
              <w:rPr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highlight w:val="lightGray"/>
                <w:rtl w:val="0"/>
              </w:rPr>
              <w:t xml:space="preserve">………(указать наименование и срок действия</w:t>
            </w:r>
            <w:r w:rsidDel="00000000" w:rsidR="00000000" w:rsidRPr="00000000">
              <w:rPr>
                <w:rtl w:val="0"/>
              </w:rPr>
              <w:t xml:space="preserve">) для дополнительного  функционала СКЭП в расчете на 5 лет </w:t>
            </w:r>
            <w:r w:rsidDel="00000000" w:rsidR="00000000" w:rsidRPr="00000000">
              <w:rPr>
                <w:i w:val="1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highlight w:val="lightGray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ind w:right="-10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Лицен-зия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4"/>
                <w:szCs w:val="14"/>
                <w:highlight w:val="darkGray"/>
                <w:rtl w:val="0"/>
              </w:rPr>
              <w:t xml:space="preserve">Заполняется Участником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jc w:val="center"/>
              <w:rPr>
                <w:i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jc w:val="center"/>
              <w:rPr>
                <w:i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3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Работы по установке и интеграции программного обеспечения базового функционала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Усл. ед.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0"/>
              </w:tabs>
              <w:jc w:val="center"/>
              <w:rPr>
                <w:i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0"/>
              </w:tabs>
              <w:jc w:val="center"/>
              <w:rPr>
                <w:i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</w:tr>
      <w:tr>
        <w:trPr>
          <w:cantSplit w:val="0"/>
          <w:trHeight w:val="54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Работы по установке и интеграции программного обеспечения для дополнительного функционала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Усл. ед.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0"/>
              </w:tabs>
              <w:jc w:val="center"/>
              <w:rPr>
                <w:i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0"/>
              </w:tabs>
              <w:jc w:val="center"/>
              <w:rPr>
                <w:i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0"/>
              </w:tabs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Техническая поддержка ПО в </w:t>
            </w:r>
            <w:r w:rsidDel="00000000" w:rsidR="00000000" w:rsidRPr="00000000">
              <w:rPr>
                <w:highlight w:val="white"/>
                <w:rtl w:val="0"/>
              </w:rPr>
              <w:t xml:space="preserve">течение 5 лет (включая гарантийную поддержку в течение 2-ух месяцев с даты внедрения)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Усл. ед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4">
            <w:pPr>
              <w:tabs>
                <w:tab w:val="left" w:leader="none" w:pos="0"/>
              </w:tabs>
              <w:jc w:val="center"/>
              <w:rPr>
                <w:i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0"/>
              </w:tabs>
              <w:jc w:val="center"/>
              <w:rPr>
                <w:i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0"/>
              </w:tabs>
              <w:rPr/>
            </w:pPr>
            <w:r w:rsidDel="00000000" w:rsidR="00000000" w:rsidRPr="00000000">
              <w:rPr>
                <w:rtl w:val="0"/>
              </w:rPr>
              <w:t xml:space="preserve">Обучение сотрудников банка(минимальная группа из 10 человек)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Усл. ед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0"/>
              </w:tabs>
              <w:jc w:val="center"/>
              <w:rPr>
                <w:i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4C">
            <w:pPr>
              <w:tabs>
                <w:tab w:val="left" w:leader="none" w:pos="0"/>
              </w:tabs>
              <w:jc w:val="center"/>
              <w:rPr>
                <w:i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0"/>
              </w:tabs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………………(дополнить при необходимости)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…….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0"/>
              </w:tabs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……..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</w:tabs>
              <w:jc w:val="center"/>
              <w:rPr>
                <w:i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2">
            <w:pPr>
              <w:tabs>
                <w:tab w:val="left" w:leader="none" w:pos="0"/>
              </w:tabs>
              <w:jc w:val="center"/>
              <w:rPr>
                <w:i w:val="1"/>
                <w:sz w:val="16"/>
                <w:szCs w:val="16"/>
                <w:highlight w:val="darkGray"/>
              </w:rPr>
            </w:pPr>
            <w:r w:rsidDel="00000000" w:rsidR="00000000" w:rsidRPr="00000000">
              <w:rPr>
                <w:i w:val="1"/>
                <w:sz w:val="16"/>
                <w:szCs w:val="16"/>
                <w:highlight w:val="darkGray"/>
                <w:rtl w:val="0"/>
              </w:rPr>
              <w:t xml:space="preserve">Заполняется Участником</w:t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0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0"/>
              </w:tabs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0"/>
              </w:tabs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7">
            <w:pPr>
              <w:tabs>
                <w:tab w:val="left" w:leader="none" w:pos="0"/>
              </w:tabs>
              <w:jc w:val="both"/>
              <w:rPr>
                <w:i w:val="1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0"/>
              </w:tabs>
              <w:jc w:val="both"/>
              <w:rPr>
                <w:i w:val="1"/>
                <w:highlight w:val="dark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lightGray"/>
          <w:rtl w:val="0"/>
        </w:rPr>
        <w:t xml:space="preserve">в случае, если участником предоставляется одна лицензия, она должна обеспечивать подключение безлимитного количества пользователей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0"/>
        </w:tabs>
        <w:spacing w:after="120"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lightGray"/>
          <w:rtl w:val="0"/>
        </w:rPr>
        <w:t xml:space="preserve">указать валюту согласно п.6 конкурсной документации.</w:t>
      </w:r>
    </w:p>
    <w:p w:rsidR="00000000" w:rsidDel="00000000" w:rsidP="00000000" w:rsidRDefault="00000000" w:rsidRPr="00000000" w14:paraId="0000005B">
      <w:pPr>
        <w:tabs>
          <w:tab w:val="left" w:leader="none" w:pos="0"/>
        </w:tabs>
        <w:spacing w:after="12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Стоимость технической поддержки является фиксированной на весь срок действия Договора и изменению не подлежит.</w:t>
      </w:r>
    </w:p>
    <w:p w:rsidR="00000000" w:rsidDel="00000000" w:rsidP="00000000" w:rsidRDefault="00000000" w:rsidRPr="00000000" w14:paraId="0000005C">
      <w:pPr>
        <w:pStyle w:val="Heading2"/>
        <w:spacing w:before="0" w:line="24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Порядок оплаты</w:t>
      </w:r>
      <w:r w:rsidDel="00000000" w:rsidR="00000000" w:rsidRPr="00000000">
        <w:rPr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5D">
      <w:pPr>
        <w:pStyle w:val="Heading2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__________________________________________________________________________(</w:t>
      </w:r>
      <w:r w:rsidDel="00000000" w:rsidR="00000000" w:rsidRPr="00000000">
        <w:rPr>
          <w:i w:val="1"/>
          <w:highlight w:val="lightGray"/>
          <w:rtl w:val="0"/>
        </w:rPr>
        <w:t xml:space="preserve">участнику расписать порядок оплаты, для Банка предпочтителен расчет по факту выполнения работ/оказания услуг, предоставить возможные варианты оплаты за лицензии, оплаты вознаграждения за предоставление Прав на использование ПО, включая Права на обновление ПО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tabs>
          <w:tab w:val="left" w:leader="none" w:pos="1080"/>
        </w:tabs>
        <w:spacing w:after="0" w:line="240" w:lineRule="auto"/>
        <w:jc w:val="both"/>
        <w:rPr>
          <w:i w:val="1"/>
        </w:rPr>
      </w:pPr>
      <w:r w:rsidDel="00000000" w:rsidR="00000000" w:rsidRPr="00000000">
        <w:rPr>
          <w:rtl w:val="0"/>
        </w:rPr>
        <w:t xml:space="preserve">Порядок передачи и гарантийные обязательства согласно условиям Технического задания (Приложение 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2. Мы ознакомлены с материалами, содержащимися в документации, влияющими на стоимость поставки сертификатов активации технической поддержки. </w:t>
      </w:r>
    </w:p>
    <w:p w:rsidR="00000000" w:rsidDel="00000000" w:rsidP="00000000" w:rsidRDefault="00000000" w:rsidRPr="00000000" w14:paraId="00000061">
      <w:pPr>
        <w:spacing w:after="120" w:line="240" w:lineRule="auto"/>
        <w:jc w:val="both"/>
        <w:rPr/>
      </w:pPr>
      <w:r w:rsidDel="00000000" w:rsidR="00000000" w:rsidRPr="00000000">
        <w:rPr>
          <w:rtl w:val="0"/>
        </w:rPr>
        <w:t xml:space="preserve">3. Настоящим Конкурсным предложением подтверждаем, что __________________________ </w:t>
      </w:r>
      <w:r w:rsidDel="00000000" w:rsidR="00000000" w:rsidRPr="00000000">
        <w:rPr>
          <w:i w:val="1"/>
          <w:highlight w:val="lightGray"/>
          <w:rtl w:val="0"/>
        </w:rPr>
        <w:t xml:space="preserve">(указать наименование компании Участника</w:t>
      </w:r>
      <w:r w:rsidDel="00000000" w:rsidR="00000000" w:rsidRPr="00000000">
        <w:rPr>
          <w:i w:val="1"/>
          <w:rtl w:val="0"/>
        </w:rPr>
        <w:t xml:space="preserve">) </w:t>
      </w:r>
      <w:r w:rsidDel="00000000" w:rsidR="00000000" w:rsidRPr="00000000">
        <w:rPr>
          <w:rtl w:val="0"/>
        </w:rPr>
        <w:t xml:space="preserve">обладает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гражданской правоспособностью в полном объеме для заключения и исполнения договора _______________________________________»,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в отношении __________________________ </w:t>
      </w:r>
      <w:r w:rsidDel="00000000" w:rsidR="00000000" w:rsidRPr="00000000">
        <w:rPr>
          <w:i w:val="1"/>
          <w:highlight w:val="lightGray"/>
          <w:rtl w:val="0"/>
        </w:rPr>
        <w:t xml:space="preserve">(указать наименование компании Участника</w:t>
      </w:r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не находиться в процессе реорганизации, ликвидации или банкротства, не является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приостановлена, не имеет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период, обладает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договора, отсутствуют сведения в реестре недобросовестных поставщиков, имеет срок регистрации в качестве юридического лица (индивидуального предпринимателя) не менее 2 лет, имеет наличие офиса/представительства компании в Республике Узбекистан, обладает опытом выполнения аналогичных поставок, обладает лицензиями и сертификатами, необходимыми для осуществления деятельности организации на территории Республики Узбекистан, отсутствует негативный опыт работы с АКБ «Hamkorbank».</w:t>
      </w:r>
    </w:p>
    <w:p w:rsidR="00000000" w:rsidDel="00000000" w:rsidP="00000000" w:rsidRDefault="00000000" w:rsidRPr="00000000" w14:paraId="00000062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4. Сообщаем о своем согласии на сохранение конфиденциальности любой информации, прямо или косвенно связанной с проводимым конкурсным отбором и которая не была объявлена публичной.</w:t>
      </w:r>
    </w:p>
    <w:p w:rsidR="00000000" w:rsidDel="00000000" w:rsidP="00000000" w:rsidRDefault="00000000" w:rsidRPr="00000000" w14:paraId="00000063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5. Сообщаем, что для оперативного уведомления по вопросам организационного характера и взаимодействия с АКБ «Hamkorbank» уполномочен __________________ </w:t>
      </w:r>
      <w:r w:rsidDel="00000000" w:rsidR="00000000" w:rsidRPr="00000000">
        <w:rPr>
          <w:i w:val="1"/>
          <w:rtl w:val="0"/>
        </w:rPr>
        <w:t xml:space="preserve">(</w:t>
      </w:r>
      <w:r w:rsidDel="00000000" w:rsidR="00000000" w:rsidRPr="00000000">
        <w:rPr>
          <w:i w:val="1"/>
          <w:highlight w:val="lightGray"/>
          <w:rtl w:val="0"/>
        </w:rPr>
        <w:t xml:space="preserve">заполняется Участником - указать Ф.И.О. полностью, должность и контактную информацию уполномоченного лица, включая телефон, e-mail</w:t>
      </w:r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6.  Настоящим подтверждаем готовность принять условия приложения №6 – SLA технической поддержки системы дистанционного банковского обслуживания юридических лиц (ДБО ЮЛ), изложенные в конкурсной документации. 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7. Срок действия настоящего конкурсного предложения составляет 60 (шестьдесят) календарных дней с даты подачи заявки на участие. 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Дополнительно к конкурсному предложению предоставляем информацию: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1. Стоимость человеко-часа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Ставки за человеко-час работы специалистов, с разделением по грейдам (Junior, Middle, Senior) для следующих ролей: 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- Архитектор. 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- DevOps-инженер. 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- Специалист технической поддержки. 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- Backend-разработчик. 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- Frontend-разработчик (Web). 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- Разработчик мобильных приложений. 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- Системный аналитик.  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- Бизнес-аналитик.  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- Тестировщик manual.  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- Тестировщик auto.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- Руководитель проекта (Project Manager). 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- Тимлид. 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- Дизайнер. 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2. Стоимость типовой команды разработки  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Для оценки экономической эффективности стоимость работы типовой команды разработки, включающей следующие роли: 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- 1 Тимлид. 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- 1 Senior-разработчик backend. 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- 1 Middle-разработчик web. 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- 1 Middle-разработчик mobile.  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- 1 Senior-Тестировщик auto.  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- 1 Middle-Тестировщик manual.  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- 1 Middle-DevOps-инженер.  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- 1 Senior-Системный аналитик. 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С указанием общего бюджета для данной команды, а также включая почасовые ставки по каждому специалисту и грейд специалиста. 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spacing w:line="240" w:lineRule="auto"/>
        <w:rPr/>
      </w:pPr>
      <w:r w:rsidDel="00000000" w:rsidR="00000000" w:rsidRPr="00000000">
        <w:rPr>
          <w:rtl w:val="0"/>
        </w:rPr>
        <w:t xml:space="preserve">_____________________                       _______________                  ___________________________                      </w:t>
      </w:r>
    </w:p>
    <w:p w:rsidR="00000000" w:rsidDel="00000000" w:rsidP="00000000" w:rsidRDefault="00000000" w:rsidRPr="00000000" w14:paraId="00000089">
      <w:pPr>
        <w:tabs>
          <w:tab w:val="left" w:leader="none" w:pos="3600"/>
        </w:tabs>
        <w:spacing w:line="240" w:lineRule="auto"/>
        <w:rPr/>
      </w:pPr>
      <w:r w:rsidDel="00000000" w:rsidR="00000000" w:rsidRPr="00000000">
        <w:rPr>
          <w:rtl w:val="0"/>
        </w:rPr>
        <w:t xml:space="preserve">          (должность)                                           (подпись)                                             (Ф.И.О.)                               </w:t>
      </w:r>
    </w:p>
    <w:p w:rsidR="00000000" w:rsidDel="00000000" w:rsidP="00000000" w:rsidRDefault="00000000" w:rsidRPr="00000000" w14:paraId="0000008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  <w:t xml:space="preserve">м.п.                                                                                                                               Дата: ___.___.____г.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37" w:top="737" w:left="1559" w:right="99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В столбцах 5 и 6 таблицы выбрать вариант «НДС не облагается» в случае применения Поставщиком упрощенной системы налогообложения или иного режима, освобождающего от уплаты НДС.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ind w:left="360" w:hanging="360"/>
    </w:pPr>
    <w:rPr/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0x0101008320A4B28351224E9168CB09A92C0A37</vt:lpwstr>
  </property>
</Properties>
</file>