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4F86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Конкурсная документация </w:t>
      </w:r>
    </w:p>
    <w:p w14:paraId="32CB591D" w14:textId="67029DB7" w:rsidR="009C3756" w:rsidRPr="00D55003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uz-Cyrl-UZ"/>
        </w:rPr>
      </w:pPr>
      <w:r>
        <w:rPr>
          <w:rFonts w:ascii="Arial" w:eastAsia="Arial" w:hAnsi="Arial" w:cs="Arial"/>
          <w:b/>
          <w:sz w:val="20"/>
          <w:szCs w:val="20"/>
        </w:rPr>
        <w:t>по</w:t>
      </w:r>
      <w:r w:rsidRPr="0001492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конкурсу</w:t>
      </w:r>
      <w:r w:rsidRPr="00014928">
        <w:rPr>
          <w:rFonts w:ascii="Arial" w:eastAsia="Arial" w:hAnsi="Arial" w:cs="Arial"/>
          <w:b/>
          <w:sz w:val="20"/>
          <w:szCs w:val="20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на</w:t>
      </w:r>
      <w:r w:rsidR="00D55003" w:rsidRPr="0001492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закупку</w:t>
      </w:r>
      <w:r w:rsidR="00D55003" w:rsidRPr="0001492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55003" w:rsidRPr="00D55003">
        <w:rPr>
          <w:rFonts w:ascii="Arial" w:eastAsia="Arial" w:hAnsi="Arial" w:cs="Arial"/>
          <w:b/>
          <w:bCs/>
          <w:sz w:val="20"/>
          <w:szCs w:val="20"/>
        </w:rPr>
        <w:t>лицензии</w:t>
      </w:r>
      <w:r w:rsidR="00D55003" w:rsidRPr="00014928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Start w:id="0" w:name="_Hlk225609539"/>
      <w:r w:rsidR="00014928" w:rsidRPr="00014928">
        <w:rPr>
          <w:rFonts w:ascii="Arial" w:eastAsia="Arial" w:hAnsi="Arial" w:cs="Arial"/>
          <w:b/>
          <w:bCs/>
          <w:sz w:val="20"/>
          <w:szCs w:val="20"/>
        </w:rPr>
        <w:t>FortiEMS</w:t>
      </w:r>
      <w:bookmarkEnd w:id="0"/>
      <w:r w:rsidR="00D55003" w:rsidRPr="00D55003">
        <w:rPr>
          <w:rFonts w:ascii="Arial" w:eastAsia="Arial" w:hAnsi="Arial" w:cs="Arial"/>
          <w:b/>
          <w:sz w:val="20"/>
          <w:szCs w:val="20"/>
          <w:lang w:val="uz-Cyrl-UZ"/>
        </w:rPr>
        <w:t xml:space="preserve"> </w:t>
      </w:r>
      <w:r w:rsidRPr="00D55003">
        <w:rPr>
          <w:rFonts w:ascii="Arial" w:eastAsia="Arial" w:hAnsi="Arial" w:cs="Arial"/>
          <w:b/>
          <w:sz w:val="20"/>
          <w:szCs w:val="20"/>
          <w:lang w:val="uz-Cyrl-UZ"/>
        </w:rPr>
        <w:t>для АКБ «Hamkorbank»</w:t>
      </w:r>
    </w:p>
    <w:p w14:paraId="3E266CDA" w14:textId="77777777" w:rsidR="009C3756" w:rsidRPr="00D55003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uz-Cyrl-UZ"/>
        </w:rPr>
      </w:pPr>
      <w:r w:rsidRPr="00D55003">
        <w:rPr>
          <w:rFonts w:ascii="Arial" w:eastAsia="Arial" w:hAnsi="Arial" w:cs="Arial"/>
          <w:b/>
          <w:sz w:val="20"/>
          <w:szCs w:val="20"/>
          <w:lang w:val="uz-Cyrl-UZ"/>
        </w:rPr>
        <w:t xml:space="preserve"> </w:t>
      </w:r>
    </w:p>
    <w:tbl>
      <w:tblPr>
        <w:tblStyle w:val="a5"/>
        <w:tblW w:w="102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40"/>
        <w:gridCol w:w="6810"/>
      </w:tblGrid>
      <w:tr w:rsidR="009C3756" w14:paraId="4FD6A399" w14:textId="77777777">
        <w:trPr>
          <w:trHeight w:val="438"/>
        </w:trPr>
        <w:tc>
          <w:tcPr>
            <w:tcW w:w="465" w:type="dxa"/>
          </w:tcPr>
          <w:p w14:paraId="632AAD54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40" w:type="dxa"/>
          </w:tcPr>
          <w:p w14:paraId="774849F3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810" w:type="dxa"/>
          </w:tcPr>
          <w:p w14:paraId="2B49F8B3" w14:textId="5266FCAD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Информация (значение), требование </w:t>
            </w:r>
            <w:r w:rsidR="006011FB">
              <w:rPr>
                <w:rFonts w:ascii="Arial" w:eastAsia="Arial" w:hAnsi="Arial" w:cs="Arial"/>
                <w:b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аказчика</w:t>
            </w:r>
          </w:p>
        </w:tc>
      </w:tr>
      <w:tr w:rsidR="009C3756" w14:paraId="09919DF6" w14:textId="77777777">
        <w:trPr>
          <w:trHeight w:val="438"/>
        </w:trPr>
        <w:tc>
          <w:tcPr>
            <w:tcW w:w="465" w:type="dxa"/>
          </w:tcPr>
          <w:p w14:paraId="784F03B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0A4F5DBA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10" w:type="dxa"/>
          </w:tcPr>
          <w:p w14:paraId="21CB69FC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АКБ «Hamkorbank»</w:t>
            </w:r>
          </w:p>
          <w:p w14:paraId="13ADB1FB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62B90A65" w14:textId="77777777">
        <w:tc>
          <w:tcPr>
            <w:tcW w:w="465" w:type="dxa"/>
          </w:tcPr>
          <w:p w14:paraId="3265AD8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14:paraId="01BFC322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10" w:type="dxa"/>
          </w:tcPr>
          <w:p w14:paraId="768D8C4F" w14:textId="21C9FBC7" w:rsidR="00D55003" w:rsidRDefault="00D55003" w:rsidP="00D55003">
            <w:pPr>
              <w:rPr>
                <w:rFonts w:ascii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Ахмедов Дилшод, </w:t>
            </w:r>
            <w:r w:rsidR="00014928" w:rsidRPr="009527F3">
              <w:rPr>
                <w:rFonts w:ascii="Arial" w:hAnsi="Arial" w:cs="Arial"/>
                <w:sz w:val="20"/>
                <w:szCs w:val="20"/>
              </w:rPr>
              <w:t>внут.: 0574</w:t>
            </w:r>
          </w:p>
          <w:p w14:paraId="5CCCD37D" w14:textId="411301A6" w:rsidR="00014928" w:rsidRPr="009527F3" w:rsidRDefault="00014928" w:rsidP="00D55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Уринбоев Абдувохид, внут.: 0494</w:t>
            </w:r>
          </w:p>
          <w:p w14:paraId="2F4CA87D" w14:textId="1FA6BF7E" w:rsidR="00D55003" w:rsidRPr="009527F3" w:rsidRDefault="00506AC3" w:rsidP="00D55003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D55003" w:rsidRPr="000D7941">
                <w:rPr>
                  <w:rStyle w:val="a6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  <w:r w:rsidR="00D550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736AA" w14:textId="20859EE2" w:rsidR="009C3756" w:rsidRDefault="00D55003" w:rsidP="00014928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 w:rsidRPr="009527F3">
              <w:rPr>
                <w:rFonts w:ascii="Arial" w:hAnsi="Arial" w:cs="Arial"/>
                <w:sz w:val="20"/>
                <w:szCs w:val="20"/>
              </w:rPr>
              <w:t xml:space="preserve">Телефон: 0-800-1-200-200, 1256   </w:t>
            </w:r>
          </w:p>
        </w:tc>
      </w:tr>
      <w:tr w:rsidR="009C3756" w14:paraId="29050034" w14:textId="77777777">
        <w:tc>
          <w:tcPr>
            <w:tcW w:w="465" w:type="dxa"/>
          </w:tcPr>
          <w:p w14:paraId="6FD0C19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14:paraId="369FDC8E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2DDD02A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10" w:type="dxa"/>
          </w:tcPr>
          <w:p w14:paraId="12BAF2E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Открытый конкурс</w:t>
            </w:r>
          </w:p>
        </w:tc>
      </w:tr>
      <w:tr w:rsidR="009C3756" w:rsidRPr="00014928" w14:paraId="46E5A56C" w14:textId="77777777">
        <w:tc>
          <w:tcPr>
            <w:tcW w:w="465" w:type="dxa"/>
          </w:tcPr>
          <w:p w14:paraId="3FE5898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14:paraId="63D9FA8D" w14:textId="77777777" w:rsidR="009C3756" w:rsidRDefault="001134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C6DCC6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810" w:type="dxa"/>
          </w:tcPr>
          <w:p w14:paraId="5B46D1A6" w14:textId="6ADD5A34" w:rsidR="009C3756" w:rsidRPr="00014928" w:rsidRDefault="00237558" w:rsidP="00237558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37558">
              <w:rPr>
                <w:rFonts w:ascii="Arial" w:eastAsia="Arial" w:hAnsi="Arial" w:cs="Arial"/>
                <w:bCs/>
                <w:sz w:val="20"/>
                <w:szCs w:val="20"/>
              </w:rPr>
              <w:t>лицензий</w:t>
            </w:r>
            <w:r w:rsidRPr="0001492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014928" w:rsidRPr="00014928">
              <w:rPr>
                <w:rFonts w:ascii="Arial" w:eastAsia="Arial" w:hAnsi="Arial" w:cs="Arial"/>
                <w:bCs/>
                <w:sz w:val="20"/>
                <w:szCs w:val="20"/>
              </w:rPr>
              <w:t>FortiEMS</w:t>
            </w:r>
            <w:r w:rsidR="006678E1" w:rsidRPr="0001492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для</w:t>
            </w:r>
            <w:r w:rsidR="006678E1" w:rsidRPr="0001492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6678E1" w:rsidRPr="00237558">
              <w:rPr>
                <w:rFonts w:ascii="Arial" w:eastAsia="Arial" w:hAnsi="Arial" w:cs="Arial"/>
                <w:bCs/>
                <w:sz w:val="20"/>
                <w:szCs w:val="20"/>
              </w:rPr>
              <w:t>АКБ</w:t>
            </w:r>
            <w:r w:rsidR="006678E1" w:rsidRPr="00014928">
              <w:rPr>
                <w:rFonts w:ascii="Arial" w:eastAsia="Arial" w:hAnsi="Arial" w:cs="Arial"/>
                <w:bCs/>
                <w:sz w:val="20"/>
                <w:szCs w:val="20"/>
              </w:rPr>
              <w:t xml:space="preserve"> «</w:t>
            </w:r>
            <w:r w:rsidR="006678E1" w:rsidRPr="006678E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Hamkorbank</w:t>
            </w:r>
            <w:r w:rsidR="006678E1" w:rsidRPr="00014928">
              <w:rPr>
                <w:rFonts w:ascii="Arial" w:eastAsia="Arial" w:hAnsi="Arial" w:cs="Arial"/>
                <w:bCs/>
                <w:sz w:val="20"/>
                <w:szCs w:val="20"/>
              </w:rPr>
              <w:t>»</w:t>
            </w:r>
          </w:p>
        </w:tc>
      </w:tr>
      <w:tr w:rsidR="009C3756" w14:paraId="0239AF32" w14:textId="77777777">
        <w:tc>
          <w:tcPr>
            <w:tcW w:w="465" w:type="dxa"/>
          </w:tcPr>
          <w:p w14:paraId="7307EB1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14:paraId="11D2967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10" w:type="dxa"/>
          </w:tcPr>
          <w:p w14:paraId="56E232CF" w14:textId="6E881726" w:rsidR="009C3756" w:rsidRDefault="00D5500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Единый лот согласно Техническому заданию</w:t>
            </w:r>
            <w:r w:rsidR="0011349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EC40D2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6E684F26" w14:textId="77777777">
        <w:tc>
          <w:tcPr>
            <w:tcW w:w="465" w:type="dxa"/>
          </w:tcPr>
          <w:p w14:paraId="7A02C7B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14:paraId="57B473F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810" w:type="dxa"/>
          </w:tcPr>
          <w:p w14:paraId="40D11229" w14:textId="210A2003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отечественных поставщиков - сум РУз (UZS).</w:t>
            </w:r>
          </w:p>
          <w:p w14:paraId="2FB2836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9C3756" w14:paraId="1606E07A" w14:textId="77777777">
        <w:tc>
          <w:tcPr>
            <w:tcW w:w="465" w:type="dxa"/>
          </w:tcPr>
          <w:p w14:paraId="32B1563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14:paraId="58468906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10" w:type="dxa"/>
          </w:tcPr>
          <w:p w14:paraId="250398BA" w14:textId="77777777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0EAAB967" w14:textId="77777777">
        <w:tc>
          <w:tcPr>
            <w:tcW w:w="465" w:type="dxa"/>
          </w:tcPr>
          <w:p w14:paraId="20DE780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14:paraId="11B02207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810" w:type="dxa"/>
          </w:tcPr>
          <w:p w14:paraId="2D162CD4" w14:textId="3F8B8E89" w:rsidR="009C3756" w:rsidRPr="00D1498C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b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участия в конкурсном отборе Участник подаёт заявку на электронный адрес</w:t>
            </w:r>
            <w:r w:rsidR="00C4640E">
              <w:rPr>
                <w:rFonts w:ascii="Arial" w:eastAsia="Arial" w:hAnsi="Arial" w:cs="Arial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konkurs</w:t>
            </w:r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</w:p>
          <w:p w14:paraId="46C28307" w14:textId="77777777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2F297E5B" w14:textId="77777777" w:rsidR="009C3756" w:rsidRDefault="00113498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65E14897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9C3756" w14:paraId="68B4FF94" w14:textId="77777777">
        <w:tc>
          <w:tcPr>
            <w:tcW w:w="465" w:type="dxa"/>
          </w:tcPr>
          <w:p w14:paraId="4697512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14:paraId="3611098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10" w:type="dxa"/>
          </w:tcPr>
          <w:p w14:paraId="46A66684" w14:textId="77777777" w:rsidR="009C3756" w:rsidRDefault="001134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8B7A8D2" w14:textId="77777777" w:rsidR="009C3756" w:rsidRDefault="009C3756">
            <w:pPr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38D47C72" w14:textId="519D53A1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 или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</w:t>
            </w:r>
            <w:r w:rsidR="00BD6DB2">
              <w:rPr>
                <w:rFonts w:ascii="Arial" w:eastAsia="Arial" w:hAnsi="Arial" w:cs="Arial"/>
                <w:color w:val="000000"/>
                <w:sz w:val="20"/>
                <w:szCs w:val="20"/>
              </w:rPr>
              <w:t>заверены апостилем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</w:t>
            </w:r>
            <w:r w:rsidR="00C814D8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AB6FA81" w14:textId="33109E2F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действия предложения Участника, содержащегося в заявке, должен быть не менее 60 (</w:t>
            </w:r>
            <w:r w:rsidR="008629A5">
              <w:rPr>
                <w:rFonts w:ascii="Arial" w:eastAsia="Arial" w:hAnsi="Arial" w:cs="Arial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естидесяти) календарных дней со дня подачи заявки. </w:t>
            </w:r>
          </w:p>
        </w:tc>
      </w:tr>
      <w:tr w:rsidR="009C3756" w14:paraId="0978DCC3" w14:textId="77777777">
        <w:tc>
          <w:tcPr>
            <w:tcW w:w="465" w:type="dxa"/>
          </w:tcPr>
          <w:p w14:paraId="02BDAD0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940" w:type="dxa"/>
          </w:tcPr>
          <w:p w14:paraId="41A2C9D8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10" w:type="dxa"/>
          </w:tcPr>
          <w:p w14:paraId="1D262C14" w14:textId="7777777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5C75C61E" w14:textId="5505E02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Республики Узбекистан к лицам, осуществляющим поставку </w:t>
            </w:r>
            <w:r w:rsidR="006072F3" w:rsidRPr="00FD13EF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борудования/выполнение работ/оказание услуг, являющ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имися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предметом Конкурса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. В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том числе к участникам предъявляются следующие требования:</w:t>
            </w:r>
          </w:p>
          <w:p w14:paraId="2D3E5859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bookmarkStart w:id="1" w:name="_Hlk194674196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4BD013F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0899D494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107CE4F2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267CDB7" w14:textId="5FF04407" w:rsidR="009C3756" w:rsidRPr="00FD13EF" w:rsidRDefault="00A07443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>омпания-участник должна демонстрировать прибыльность и финансовую устойчивость в течение последних трех лет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(наличие положительной финансовой отчетности за последние </w:t>
            </w:r>
            <w:r w:rsidR="00BF004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 года и отсутствия убытков по результатам последнего отчетного года). </w:t>
            </w:r>
          </w:p>
          <w:p w14:paraId="034BA8FF" w14:textId="12A4B569" w:rsidR="009C3756" w:rsidRPr="00237558" w:rsidRDefault="00113498" w:rsidP="002375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</w:t>
            </w:r>
            <w:r w:rsidR="00B57D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89EE50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52C40AD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по предмету конкурса;</w:t>
            </w:r>
          </w:p>
          <w:p w14:paraId="45E0C2C5" w14:textId="714511D9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срок регистрации организации не менее </w:t>
            </w:r>
            <w:r w:rsidR="00BF0040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лет;</w:t>
            </w:r>
          </w:p>
          <w:p w14:paraId="5A9CE6F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«Hamkorbank»;</w:t>
            </w:r>
          </w:p>
          <w:p w14:paraId="4D84567B" w14:textId="659A3AE5" w:rsidR="00FD13EF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обладать опытом внедрения и оказания услуг технической поддержки систем </w:t>
            </w:r>
            <w:r w:rsidR="00014928" w:rsidRPr="0001492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FortiEMS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(не менее двух фактических внедрений в промышленную эксплуатацию за 2023-2025 гг. непосредственно самой компанией, головной организацией или в рамках холдинга) на территории СНГ в банках сопоставимого или более высокого уровня;</w:t>
            </w:r>
          </w:p>
          <w:p w14:paraId="756B6F51" w14:textId="1E91662A" w:rsidR="003B5759" w:rsidRPr="003B5759" w:rsidRDefault="00BF0040" w:rsidP="003B5759">
            <w:pPr>
              <w:pStyle w:val="a7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компания-победитель будет </w:t>
            </w:r>
            <w:r w:rsidR="003B5759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обязан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а</w:t>
            </w:r>
            <w:r w:rsidR="003B5759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Соглашени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r w:rsidR="003B5759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 конфиденциальности (NDA);</w:t>
            </w:r>
          </w:p>
          <w:bookmarkEnd w:id="1"/>
          <w:p w14:paraId="3E10116A" w14:textId="77777777" w:rsidR="009C3756" w:rsidRPr="00FD13EF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9C3756" w14:paraId="0E3C3906" w14:textId="77777777">
        <w:tc>
          <w:tcPr>
            <w:tcW w:w="465" w:type="dxa"/>
          </w:tcPr>
          <w:p w14:paraId="7CB9E2B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40" w:type="dxa"/>
          </w:tcPr>
          <w:p w14:paraId="023BFB2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10" w:type="dxa"/>
          </w:tcPr>
          <w:p w14:paraId="521DB059" w14:textId="77777777" w:rsidR="009C3756" w:rsidRDefault="00113498">
            <w:pPr>
              <w:spacing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5803293D" w14:textId="4AA47B54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Ан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кета участника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документации;</w:t>
            </w:r>
          </w:p>
          <w:p w14:paraId="0C51F104" w14:textId="36C860EC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Конкурсн</w:t>
            </w:r>
            <w:r w:rsidR="0023755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ое предложение в соответствии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 (скан и в формате doc);</w:t>
            </w:r>
          </w:p>
          <w:p w14:paraId="3E97D07D" w14:textId="22C99D00" w:rsidR="009C3756" w:rsidRPr="00686D9F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об опыте выполнения аналогичных поставок и выполнения работ/оказания услуг в соответствии </w:t>
            </w:r>
            <w:r w:rsidR="00407965">
              <w:rPr>
                <w:rFonts w:ascii="Arial" w:eastAsia="Arial" w:hAnsi="Arial" w:cs="Arial"/>
                <w:color w:val="000000"/>
                <w:sz w:val="20"/>
                <w:szCs w:val="20"/>
              </w:rPr>
              <w:t>к настоящей документации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поставку и оказание услуг, в соответствии с требованием по наличию опыта; </w:t>
            </w:r>
          </w:p>
          <w:p w14:paraId="04A2EA9A" w14:textId="1AD0C783" w:rsidR="00686D9F" w:rsidRDefault="00686D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Сертификат резидентства (для иностранных участников)</w:t>
            </w:r>
          </w:p>
          <w:p w14:paraId="6126216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EDD4085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5900F3B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РУз, документ о внесении записи в единый реестр индивидуальных предпринимателей;</w:t>
            </w:r>
          </w:p>
          <w:p w14:paraId="1491FB8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3F6A902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76281D06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BEE639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037088B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случае наличия таковых.</w:t>
            </w:r>
          </w:p>
          <w:p w14:paraId="0F3A29CE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627C55" w14:textId="77777777" w:rsidR="009C3756" w:rsidRDefault="00113498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E48A11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7358015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12390DC0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1D144CF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44498CA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54A6634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9C3756" w14:paraId="2D8D6154" w14:textId="77777777">
        <w:tc>
          <w:tcPr>
            <w:tcW w:w="465" w:type="dxa"/>
          </w:tcPr>
          <w:p w14:paraId="37644990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0" w:type="dxa"/>
          </w:tcPr>
          <w:p w14:paraId="1D66DD8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810" w:type="dxa"/>
          </w:tcPr>
          <w:p w14:paraId="0E4C3638" w14:textId="7049755D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</w:t>
            </w:r>
            <w:r w:rsidR="00A064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является конфиденциальной.</w:t>
            </w:r>
          </w:p>
          <w:p w14:paraId="1CC8B719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5B24E8C3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320260E6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204C2C27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5468A6B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1E38F1D5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9A22C6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9C3756" w14:paraId="5CA51D13" w14:textId="77777777">
        <w:tc>
          <w:tcPr>
            <w:tcW w:w="465" w:type="dxa"/>
            <w:shd w:val="clear" w:color="auto" w:fill="FFFFFF"/>
          </w:tcPr>
          <w:p w14:paraId="23DB900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50" w:type="dxa"/>
            <w:gridSpan w:val="2"/>
            <w:shd w:val="clear" w:color="auto" w:fill="FFFFFF"/>
          </w:tcPr>
          <w:p w14:paraId="3932604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9C3756" w14:paraId="361FFF74" w14:textId="77777777">
        <w:tc>
          <w:tcPr>
            <w:tcW w:w="465" w:type="dxa"/>
          </w:tcPr>
          <w:p w14:paraId="4559371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2"/>
          </w:tcPr>
          <w:p w14:paraId="18EF43D7" w14:textId="6B4969DD" w:rsidR="007558B8" w:rsidRPr="00E50065" w:rsidRDefault="0011349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1 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Анкеты Участника конкурса.</w:t>
            </w:r>
          </w:p>
          <w:p w14:paraId="2E0A3D90" w14:textId="24A46F7A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2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Конкурсного предложения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>.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Конкурсное предложение предоставить в виде скан-копии предложения, заверенного подписью и печатью, а также в формате Word</w:t>
            </w:r>
            <w:r w:rsidR="00634BEF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uz-Cyrl-UZ"/>
              </w:rPr>
              <w:t xml:space="preserve">,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предоставить в виде excel-файла.</w:t>
            </w:r>
          </w:p>
          <w:p w14:paraId="59E88877" w14:textId="11DC94B2" w:rsidR="007558B8" w:rsidRPr="00900F82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3.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3 </w:t>
            </w:r>
            <w:r w:rsidR="00634BEF" w:rsidRPr="00634BE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Т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ехническое </w:t>
            </w:r>
            <w:r w:rsidR="00900F82" w:rsidRPr="00D550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задание</w:t>
            </w:r>
            <w:r w:rsidR="00634BEF" w:rsidRPr="00D5500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для лицензии </w:t>
            </w:r>
            <w:r w:rsidR="00014928" w:rsidRPr="00014928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FortiEMS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2E5D4C3" w14:textId="3E5D9DB8" w:rsidR="009C3756" w:rsidRPr="00634BEF" w:rsidRDefault="007558B8" w:rsidP="000C0C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4. </w:t>
            </w:r>
            <w:r w:rsidR="00900F8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Приложение 4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Форма справки об опыте участника.</w:t>
            </w:r>
          </w:p>
        </w:tc>
      </w:tr>
    </w:tbl>
    <w:p w14:paraId="0497CAFA" w14:textId="189E0B58" w:rsidR="009C3756" w:rsidRDefault="009C375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2" w:name="_gjdgxs" w:colFirst="0" w:colLast="0"/>
      <w:bookmarkEnd w:id="2"/>
    </w:p>
    <w:p w14:paraId="0225FB8D" w14:textId="06300CC5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668C0D" w14:textId="2A7E43D9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9503DD">
      <w:footerReference w:type="default" r:id="rId9"/>
      <w:pgSz w:w="11906" w:h="16838"/>
      <w:pgMar w:top="851" w:right="850" w:bottom="709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1F98" w14:textId="77777777" w:rsidR="00506AC3" w:rsidRDefault="00506AC3">
      <w:pPr>
        <w:spacing w:after="0" w:line="240" w:lineRule="auto"/>
      </w:pPr>
      <w:r>
        <w:separator/>
      </w:r>
    </w:p>
  </w:endnote>
  <w:endnote w:type="continuationSeparator" w:id="0">
    <w:p w14:paraId="3E813F31" w14:textId="77777777" w:rsidR="00506AC3" w:rsidRDefault="005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FEE" w14:textId="3BDD8BB1" w:rsidR="009C3756" w:rsidRDefault="00113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14928">
      <w:rPr>
        <w:noProof/>
        <w:color w:val="000000"/>
      </w:rPr>
      <w:t>4</w:t>
    </w:r>
    <w:r>
      <w:rPr>
        <w:color w:val="000000"/>
      </w:rPr>
      <w:fldChar w:fldCharType="end"/>
    </w:r>
  </w:p>
  <w:p w14:paraId="62B7FFCD" w14:textId="77777777" w:rsidR="009C3756" w:rsidRDefault="009C37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9A16" w14:textId="77777777" w:rsidR="00506AC3" w:rsidRDefault="00506AC3">
      <w:pPr>
        <w:spacing w:after="0" w:line="240" w:lineRule="auto"/>
      </w:pPr>
      <w:r>
        <w:separator/>
      </w:r>
    </w:p>
  </w:footnote>
  <w:footnote w:type="continuationSeparator" w:id="0">
    <w:p w14:paraId="7795923F" w14:textId="77777777" w:rsidR="00506AC3" w:rsidRDefault="0050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0C5"/>
    <w:multiLevelType w:val="multilevel"/>
    <w:tmpl w:val="ADDEC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56"/>
    <w:rsid w:val="00014928"/>
    <w:rsid w:val="00047058"/>
    <w:rsid w:val="00072C89"/>
    <w:rsid w:val="00083F6F"/>
    <w:rsid w:val="000A32A7"/>
    <w:rsid w:val="000A6099"/>
    <w:rsid w:val="000B451D"/>
    <w:rsid w:val="000C0CE8"/>
    <w:rsid w:val="00100891"/>
    <w:rsid w:val="00113498"/>
    <w:rsid w:val="00147901"/>
    <w:rsid w:val="001543C6"/>
    <w:rsid w:val="001D4265"/>
    <w:rsid w:val="001F2658"/>
    <w:rsid w:val="0020299E"/>
    <w:rsid w:val="00221C31"/>
    <w:rsid w:val="00237558"/>
    <w:rsid w:val="0025483E"/>
    <w:rsid w:val="00265A36"/>
    <w:rsid w:val="002908C4"/>
    <w:rsid w:val="002A7028"/>
    <w:rsid w:val="002D27A9"/>
    <w:rsid w:val="002D5122"/>
    <w:rsid w:val="0033300B"/>
    <w:rsid w:val="00366B45"/>
    <w:rsid w:val="003742EF"/>
    <w:rsid w:val="00385760"/>
    <w:rsid w:val="00387F52"/>
    <w:rsid w:val="003B5759"/>
    <w:rsid w:val="003C5FCB"/>
    <w:rsid w:val="003F4F89"/>
    <w:rsid w:val="004029E8"/>
    <w:rsid w:val="00407965"/>
    <w:rsid w:val="004911EB"/>
    <w:rsid w:val="00497C73"/>
    <w:rsid w:val="00506AC3"/>
    <w:rsid w:val="00576DF6"/>
    <w:rsid w:val="0059050A"/>
    <w:rsid w:val="005962C0"/>
    <w:rsid w:val="006011FB"/>
    <w:rsid w:val="006024F2"/>
    <w:rsid w:val="006072F3"/>
    <w:rsid w:val="00633742"/>
    <w:rsid w:val="00634BEF"/>
    <w:rsid w:val="0066363C"/>
    <w:rsid w:val="006670D6"/>
    <w:rsid w:val="006678E1"/>
    <w:rsid w:val="00686D9F"/>
    <w:rsid w:val="0069685C"/>
    <w:rsid w:val="006A2C3A"/>
    <w:rsid w:val="006C73AA"/>
    <w:rsid w:val="006F7488"/>
    <w:rsid w:val="007045A9"/>
    <w:rsid w:val="00723D5C"/>
    <w:rsid w:val="007558B8"/>
    <w:rsid w:val="007A1116"/>
    <w:rsid w:val="007C003D"/>
    <w:rsid w:val="007D7D3F"/>
    <w:rsid w:val="00822811"/>
    <w:rsid w:val="0084125B"/>
    <w:rsid w:val="008629A5"/>
    <w:rsid w:val="00882867"/>
    <w:rsid w:val="008865BE"/>
    <w:rsid w:val="008B7DB7"/>
    <w:rsid w:val="00900F82"/>
    <w:rsid w:val="009503DD"/>
    <w:rsid w:val="009C3756"/>
    <w:rsid w:val="009D70DC"/>
    <w:rsid w:val="00A0648E"/>
    <w:rsid w:val="00A07443"/>
    <w:rsid w:val="00A13088"/>
    <w:rsid w:val="00A473FD"/>
    <w:rsid w:val="00A93E8E"/>
    <w:rsid w:val="00AB64ED"/>
    <w:rsid w:val="00B21D22"/>
    <w:rsid w:val="00B42B57"/>
    <w:rsid w:val="00B5593C"/>
    <w:rsid w:val="00B57D7A"/>
    <w:rsid w:val="00BD6DB2"/>
    <w:rsid w:val="00BF0040"/>
    <w:rsid w:val="00C4640E"/>
    <w:rsid w:val="00C71525"/>
    <w:rsid w:val="00C72C30"/>
    <w:rsid w:val="00C814D8"/>
    <w:rsid w:val="00C9265E"/>
    <w:rsid w:val="00C95AEA"/>
    <w:rsid w:val="00D01E2F"/>
    <w:rsid w:val="00D1498C"/>
    <w:rsid w:val="00D412CE"/>
    <w:rsid w:val="00D55003"/>
    <w:rsid w:val="00DC1174"/>
    <w:rsid w:val="00DC4682"/>
    <w:rsid w:val="00DF0809"/>
    <w:rsid w:val="00E104C6"/>
    <w:rsid w:val="00E50065"/>
    <w:rsid w:val="00E72094"/>
    <w:rsid w:val="00EB7728"/>
    <w:rsid w:val="00ED06CF"/>
    <w:rsid w:val="00ED2F44"/>
    <w:rsid w:val="00EF0FA1"/>
    <w:rsid w:val="00EF79C5"/>
    <w:rsid w:val="00F20F02"/>
    <w:rsid w:val="00F27833"/>
    <w:rsid w:val="00F54118"/>
    <w:rsid w:val="00F8195F"/>
    <w:rsid w:val="00FD13EF"/>
    <w:rsid w:val="00FD653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3938"/>
  <w15:docId w15:val="{47364B32-6C64-4726-8E11-1DE1BAE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79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79C5"/>
    <w:rPr>
      <w:color w:val="605E5C"/>
      <w:shd w:val="clear" w:color="auto" w:fill="E1DFDD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A130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42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426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42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26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4265"/>
    <w:rPr>
      <w:b/>
      <w:bCs/>
      <w:sz w:val="20"/>
      <w:szCs w:val="20"/>
    </w:r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3B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3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92F5-B1FE-4B15-82EF-D147592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Иксанова Вилена Шаукатовна</cp:lastModifiedBy>
  <cp:revision>5</cp:revision>
  <dcterms:created xsi:type="dcterms:W3CDTF">2025-05-29T11:33:00Z</dcterms:created>
  <dcterms:modified xsi:type="dcterms:W3CDTF">2026-03-31T12:53:00Z</dcterms:modified>
</cp:coreProperties>
</file>