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 xml:space="preserve">Конкурсная </w:t>
      </w:r>
      <w:r w:rsidR="003807B3">
        <w:rPr>
          <w:rFonts w:ascii="Arial" w:hAnsi="Arial" w:cs="Arial"/>
          <w:b/>
          <w:szCs w:val="20"/>
        </w:rPr>
        <w:t xml:space="preserve">(тендерная) </w:t>
      </w:r>
      <w:r w:rsidRPr="00346083">
        <w:rPr>
          <w:rFonts w:ascii="Arial" w:hAnsi="Arial" w:cs="Arial"/>
          <w:b/>
          <w:szCs w:val="20"/>
        </w:rPr>
        <w:t>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:rsidR="00E23F78" w:rsidRDefault="009E3B2F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 конкурсу</w:t>
      </w:r>
      <w:r w:rsidR="00E23F78">
        <w:rPr>
          <w:rFonts w:ascii="Arial" w:hAnsi="Arial" w:cs="Arial"/>
          <w:b/>
          <w:sz w:val="20"/>
          <w:szCs w:val="20"/>
        </w:rPr>
        <w:t xml:space="preserve"> на </w:t>
      </w:r>
      <w:r w:rsidR="00B962F1">
        <w:rPr>
          <w:rFonts w:ascii="Arial" w:hAnsi="Arial" w:cs="Arial"/>
          <w:b/>
          <w:sz w:val="20"/>
          <w:szCs w:val="20"/>
        </w:rPr>
        <w:t>«</w:t>
      </w:r>
      <w:r w:rsidR="003C2804">
        <w:rPr>
          <w:rFonts w:ascii="Arial" w:hAnsi="Arial" w:cs="Arial"/>
          <w:b/>
          <w:sz w:val="20"/>
          <w:szCs w:val="20"/>
        </w:rPr>
        <w:t xml:space="preserve">Поставку мобильных телефонов </w:t>
      </w:r>
      <w:r w:rsidR="003C2804">
        <w:rPr>
          <w:rFonts w:ascii="Arial" w:hAnsi="Arial" w:cs="Arial"/>
          <w:b/>
          <w:sz w:val="20"/>
          <w:szCs w:val="20"/>
          <w:lang w:val="en-AU"/>
        </w:rPr>
        <w:t>Samsung</w:t>
      </w:r>
      <w:r w:rsidR="003C2804" w:rsidRPr="003C2804">
        <w:rPr>
          <w:rFonts w:ascii="Arial" w:hAnsi="Arial" w:cs="Arial"/>
          <w:b/>
          <w:sz w:val="20"/>
          <w:szCs w:val="20"/>
        </w:rPr>
        <w:t xml:space="preserve"> </w:t>
      </w:r>
      <w:r w:rsidR="003C2804">
        <w:rPr>
          <w:rFonts w:ascii="Arial" w:hAnsi="Arial" w:cs="Arial"/>
          <w:b/>
          <w:sz w:val="20"/>
          <w:szCs w:val="20"/>
          <w:lang w:val="en-AU"/>
        </w:rPr>
        <w:t>A</w:t>
      </w:r>
      <w:r w:rsidR="003C2804" w:rsidRPr="003C2804">
        <w:rPr>
          <w:rFonts w:ascii="Arial" w:hAnsi="Arial" w:cs="Arial"/>
          <w:b/>
          <w:sz w:val="20"/>
          <w:szCs w:val="20"/>
        </w:rPr>
        <w:t>16 6/128</w:t>
      </w:r>
      <w:r w:rsidR="00E23F78">
        <w:rPr>
          <w:rFonts w:ascii="Arial" w:hAnsi="Arial" w:cs="Arial"/>
          <w:b/>
          <w:sz w:val="20"/>
          <w:szCs w:val="20"/>
        </w:rPr>
        <w:t>»</w:t>
      </w:r>
      <w:r w:rsidR="003C2804" w:rsidRPr="003C2804">
        <w:rPr>
          <w:rFonts w:ascii="Arial" w:hAnsi="Arial" w:cs="Arial"/>
          <w:b/>
          <w:sz w:val="20"/>
          <w:szCs w:val="20"/>
        </w:rPr>
        <w:t xml:space="preserve"> </w:t>
      </w:r>
      <w:r w:rsidR="00E23F78">
        <w:rPr>
          <w:rFonts w:ascii="Arial" w:hAnsi="Arial" w:cs="Arial"/>
          <w:b/>
          <w:sz w:val="20"/>
          <w:szCs w:val="20"/>
        </w:rPr>
        <w:t xml:space="preserve">для </w:t>
      </w:r>
      <w:r w:rsidR="00E23F78" w:rsidRPr="00B962F1">
        <w:rPr>
          <w:rFonts w:ascii="Arial" w:hAnsi="Arial" w:cs="Arial"/>
          <w:b/>
          <w:sz w:val="20"/>
          <w:szCs w:val="20"/>
        </w:rPr>
        <w:t>АКБ «Hamkorbank»</w:t>
      </w:r>
    </w:p>
    <w:p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:rsidTr="00E23F78">
        <w:trPr>
          <w:trHeight w:val="438"/>
        </w:trPr>
        <w:tc>
          <w:tcPr>
            <w:tcW w:w="458" w:type="dxa"/>
          </w:tcPr>
          <w:p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:rsidTr="00E23F78">
        <w:trPr>
          <w:trHeight w:val="438"/>
        </w:trPr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:rsidTr="00E23F78"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:rsidR="003C2804" w:rsidRPr="003C2804" w:rsidRDefault="00B962F1" w:rsidP="003C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804" w:rsidRPr="003C2804">
              <w:rPr>
                <w:rFonts w:ascii="Arial" w:hAnsi="Arial" w:cs="Arial"/>
                <w:sz w:val="20"/>
                <w:szCs w:val="20"/>
              </w:rPr>
              <w:t>Муроджон Атабоев, konkurs@hamkorbank.uz</w:t>
            </w:r>
          </w:p>
          <w:p w:rsidR="003C2804" w:rsidRPr="003C2804" w:rsidRDefault="003C2804" w:rsidP="003C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03069" w:rsidRPr="0028275F" w:rsidRDefault="003C2804" w:rsidP="003C28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2804">
              <w:rPr>
                <w:rFonts w:ascii="Arial" w:hAnsi="Arial" w:cs="Arial"/>
                <w:sz w:val="20"/>
                <w:szCs w:val="20"/>
              </w:rPr>
              <w:t>Телефон: 0-800-1-200-200, 1256   внут.: 1221</w:t>
            </w:r>
          </w:p>
        </w:tc>
      </w:tr>
      <w:tr w:rsidR="00B03069" w:rsidRPr="0028275F" w:rsidTr="00E23F78"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:rsidR="00B03069" w:rsidRPr="0028275F" w:rsidRDefault="00D13EC9" w:rsidP="00D13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z-Cyrl-UZ"/>
              </w:rPr>
              <w:t>Откр</w:t>
            </w:r>
            <w:r>
              <w:rPr>
                <w:rFonts w:ascii="Arial" w:hAnsi="Arial" w:cs="Arial"/>
                <w:sz w:val="20"/>
                <w:szCs w:val="20"/>
              </w:rPr>
              <w:t xml:space="preserve">ытый </w:t>
            </w:r>
            <w:r w:rsidR="00B962F1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:rsidTr="00E23F78"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:rsidR="00B03069" w:rsidRPr="00CF098A" w:rsidRDefault="00D13EC9" w:rsidP="00D13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A16 6-128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 xml:space="preserve">гб </w:t>
            </w:r>
          </w:p>
        </w:tc>
      </w:tr>
      <w:tr w:rsidR="00B03069" w:rsidRPr="0028275F" w:rsidTr="00E23F78"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:rsidR="00B03069" w:rsidRPr="00CF098A" w:rsidRDefault="00D13EC9" w:rsidP="00D13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z-Cyrl-UZ"/>
              </w:rPr>
              <w:t>208 шт</w:t>
            </w:r>
          </w:p>
        </w:tc>
      </w:tr>
      <w:tr w:rsidR="00B03069" w:rsidRPr="0028275F" w:rsidTr="00E23F78"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РУз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:rsidTr="00E23F78"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:rsidR="00B03069" w:rsidRDefault="00E23F78" w:rsidP="003C2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648C" w:rsidRPr="005B648C" w:rsidRDefault="005B648C" w:rsidP="003C280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г. Ташкент</w:t>
            </w:r>
            <w:r w:rsidRPr="005B64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Яшнабадский район, 1-й тупик улицы Алимкент, дом 5</w:t>
            </w:r>
            <w:bookmarkStart w:id="0" w:name="_GoBack"/>
            <w:bookmarkEnd w:id="0"/>
          </w:p>
        </w:tc>
      </w:tr>
      <w:tr w:rsidR="00B03069" w:rsidRPr="0028275F" w:rsidTr="00E23F78">
        <w:tc>
          <w:tcPr>
            <w:tcW w:w="458" w:type="dxa"/>
          </w:tcPr>
          <w:p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7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:rsidTr="00E23F78">
        <w:tc>
          <w:tcPr>
            <w:tcW w:w="458" w:type="dxa"/>
          </w:tcPr>
          <w:p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:rsidTr="00E23F78">
        <w:tc>
          <w:tcPr>
            <w:tcW w:w="458" w:type="dxa"/>
          </w:tcPr>
          <w:p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«Hamkorbank»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:rsidR="005265D1" w:rsidRDefault="006542FC" w:rsidP="00D13EC9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>а партнера вендора</w:t>
            </w:r>
            <w:r w:rsidR="003C2804">
              <w:rPr>
                <w:rFonts w:ascii="Arial" w:hAnsi="Arial"/>
                <w:i w:val="0"/>
              </w:rPr>
              <w:t>, авторизованного поставщика и т.п</w:t>
            </w:r>
            <w:r w:rsidR="00994C27">
              <w:rPr>
                <w:rFonts w:ascii="Arial" w:hAnsi="Arial"/>
                <w:i w:val="0"/>
              </w:rPr>
              <w:t>;</w:t>
            </w:r>
          </w:p>
          <w:p w:rsidR="003C2804" w:rsidRPr="00D13EC9" w:rsidRDefault="003C2804" w:rsidP="00D13EC9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опыт аналог</w:t>
            </w:r>
            <w:r w:rsidR="00A43D9E">
              <w:rPr>
                <w:rFonts w:ascii="Arial" w:hAnsi="Arial"/>
                <w:i w:val="0"/>
              </w:rPr>
              <w:t>ичны</w:t>
            </w:r>
            <w:r>
              <w:rPr>
                <w:rFonts w:ascii="Arial" w:hAnsi="Arial"/>
                <w:i w:val="0"/>
              </w:rPr>
              <w:t>х</w:t>
            </w:r>
            <w:r w:rsidR="00A43D9E">
              <w:rPr>
                <w:rFonts w:ascii="Arial" w:hAnsi="Arial"/>
                <w:i w:val="0"/>
              </w:rPr>
              <w:t xml:space="preserve"> поставок - </w:t>
            </w:r>
            <w:r w:rsidR="00A43D9E" w:rsidRPr="0028275F">
              <w:rPr>
                <w:rFonts w:ascii="Arial" w:hAnsi="Arial"/>
              </w:rPr>
              <w:t xml:space="preserve">Приложение 4 – </w:t>
            </w:r>
            <w:r w:rsidR="00A43D9E">
              <w:rPr>
                <w:rFonts w:ascii="Arial" w:hAnsi="Arial"/>
              </w:rPr>
              <w:t>Форма справки об опыте - заполняется участником.</w:t>
            </w:r>
          </w:p>
          <w:p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:rsidTr="00E23F78">
        <w:tc>
          <w:tcPr>
            <w:tcW w:w="458" w:type="dxa"/>
          </w:tcPr>
          <w:p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</w:t>
            </w:r>
            <w:r w:rsidRPr="00346083">
              <w:rPr>
                <w:rFonts w:ascii="Arial" w:hAnsi="Arial"/>
                <w:i w:val="0"/>
              </w:rPr>
              <w:lastRenderedPageBreak/>
              <w:t xml:space="preserve">органе физического лица по месту жительства на территории </w:t>
            </w:r>
            <w:r w:rsidR="004756CB" w:rsidRPr="00346083">
              <w:rPr>
                <w:rFonts w:ascii="Arial" w:hAnsi="Arial"/>
                <w:i w:val="0"/>
              </w:rPr>
              <w:t>РУз</w:t>
            </w:r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:rsidTr="00E23F78">
        <w:tc>
          <w:tcPr>
            <w:tcW w:w="458" w:type="dxa"/>
          </w:tcPr>
          <w:p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:rsidTr="00E23F78">
        <w:tc>
          <w:tcPr>
            <w:tcW w:w="458" w:type="dxa"/>
            <w:shd w:val="clear" w:color="auto" w:fill="FFFFFF" w:themeFill="background1"/>
          </w:tcPr>
          <w:p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:rsidTr="00E23F78">
        <w:tc>
          <w:tcPr>
            <w:tcW w:w="458" w:type="dxa"/>
          </w:tcPr>
          <w:p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8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36" w:rsidRDefault="00833D36" w:rsidP="004E72B1">
      <w:pPr>
        <w:spacing w:after="0" w:line="240" w:lineRule="auto"/>
      </w:pPr>
      <w:r>
        <w:separator/>
      </w:r>
    </w:p>
  </w:endnote>
  <w:endnote w:type="continuationSeparator" w:id="0">
    <w:p w:rsidR="00833D36" w:rsidRDefault="00833D36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48C">
          <w:rPr>
            <w:noProof/>
          </w:rPr>
          <w:t>1</w:t>
        </w:r>
        <w:r>
          <w:fldChar w:fldCharType="end"/>
        </w:r>
      </w:p>
    </w:sdtContent>
  </w:sdt>
  <w:p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36" w:rsidRDefault="00833D36" w:rsidP="004E72B1">
      <w:pPr>
        <w:spacing w:after="0" w:line="240" w:lineRule="auto"/>
      </w:pPr>
      <w:r>
        <w:separator/>
      </w:r>
    </w:p>
  </w:footnote>
  <w:footnote w:type="continuationSeparator" w:id="0">
    <w:p w:rsidR="00833D36" w:rsidRDefault="00833D36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2017B"/>
    <w:rsid w:val="00033620"/>
    <w:rsid w:val="00045686"/>
    <w:rsid w:val="00057986"/>
    <w:rsid w:val="00060159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17EF"/>
    <w:rsid w:val="00133E83"/>
    <w:rsid w:val="00135445"/>
    <w:rsid w:val="00156585"/>
    <w:rsid w:val="001709EF"/>
    <w:rsid w:val="001818F6"/>
    <w:rsid w:val="001A79C9"/>
    <w:rsid w:val="001B56C7"/>
    <w:rsid w:val="001D5A35"/>
    <w:rsid w:val="00213888"/>
    <w:rsid w:val="002141C9"/>
    <w:rsid w:val="00230131"/>
    <w:rsid w:val="002406D9"/>
    <w:rsid w:val="00244012"/>
    <w:rsid w:val="0028275F"/>
    <w:rsid w:val="002A3C25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2804"/>
    <w:rsid w:val="003C35F5"/>
    <w:rsid w:val="003D4F58"/>
    <w:rsid w:val="003E4367"/>
    <w:rsid w:val="003F7068"/>
    <w:rsid w:val="00420C07"/>
    <w:rsid w:val="00423D55"/>
    <w:rsid w:val="0043634C"/>
    <w:rsid w:val="004419F6"/>
    <w:rsid w:val="00461E43"/>
    <w:rsid w:val="004756CB"/>
    <w:rsid w:val="004B0B32"/>
    <w:rsid w:val="004D6F24"/>
    <w:rsid w:val="004E1DEB"/>
    <w:rsid w:val="004E344C"/>
    <w:rsid w:val="004E493F"/>
    <w:rsid w:val="004E6622"/>
    <w:rsid w:val="004E72B1"/>
    <w:rsid w:val="004F1465"/>
    <w:rsid w:val="005265D1"/>
    <w:rsid w:val="00557B31"/>
    <w:rsid w:val="00563891"/>
    <w:rsid w:val="00581A5E"/>
    <w:rsid w:val="00587F26"/>
    <w:rsid w:val="005B648C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3126A"/>
    <w:rsid w:val="00833D36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43D9E"/>
    <w:rsid w:val="00A60136"/>
    <w:rsid w:val="00A7736A"/>
    <w:rsid w:val="00A8063D"/>
    <w:rsid w:val="00A94B57"/>
    <w:rsid w:val="00AA0C32"/>
    <w:rsid w:val="00AF54E3"/>
    <w:rsid w:val="00B01C2B"/>
    <w:rsid w:val="00B03069"/>
    <w:rsid w:val="00B03381"/>
    <w:rsid w:val="00B05561"/>
    <w:rsid w:val="00B15425"/>
    <w:rsid w:val="00B21614"/>
    <w:rsid w:val="00B329AC"/>
    <w:rsid w:val="00B76A75"/>
    <w:rsid w:val="00B84D82"/>
    <w:rsid w:val="00B962F1"/>
    <w:rsid w:val="00BA6ECA"/>
    <w:rsid w:val="00BC10AD"/>
    <w:rsid w:val="00BD1BFD"/>
    <w:rsid w:val="00C12CFB"/>
    <w:rsid w:val="00CB2C44"/>
    <w:rsid w:val="00CD0F6D"/>
    <w:rsid w:val="00CE6107"/>
    <w:rsid w:val="00CF098A"/>
    <w:rsid w:val="00D07D1A"/>
    <w:rsid w:val="00D13EC9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E11802"/>
    <w:rsid w:val="00E23F78"/>
    <w:rsid w:val="00E60FFB"/>
    <w:rsid w:val="00E64279"/>
    <w:rsid w:val="00E668EA"/>
    <w:rsid w:val="00EC1C6E"/>
    <w:rsid w:val="00EF6147"/>
    <w:rsid w:val="00F06BFF"/>
    <w:rsid w:val="00F10DF9"/>
    <w:rsid w:val="00F41F1B"/>
    <w:rsid w:val="00F42B9B"/>
    <w:rsid w:val="00F51D71"/>
    <w:rsid w:val="00F6121C"/>
    <w:rsid w:val="00F63DBD"/>
    <w:rsid w:val="00F74A66"/>
    <w:rsid w:val="00F76DD6"/>
    <w:rsid w:val="00F771E1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D1784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Махаммаджонов Иззатилло Дилшодбек угли</cp:lastModifiedBy>
  <cp:revision>4</cp:revision>
  <dcterms:created xsi:type="dcterms:W3CDTF">2025-08-18T10:26:00Z</dcterms:created>
  <dcterms:modified xsi:type="dcterms:W3CDTF">2025-08-20T12:25:00Z</dcterms:modified>
</cp:coreProperties>
</file>