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73" w:rsidRDefault="00751173" w:rsidP="00751173">
      <w:pPr>
        <w:pStyle w:val="3"/>
        <w:rPr>
          <w:rFonts w:ascii="Times New Roman" w:hAnsi="Times New Roman"/>
        </w:rPr>
      </w:pPr>
      <w:r>
        <w:t xml:space="preserve">Пояснение к тендеру на построение витрин данных по доменам РБ и ММСБ для АКБ </w:t>
      </w:r>
      <w:proofErr w:type="spellStart"/>
      <w:r>
        <w:t>Hamkorbank</w:t>
      </w:r>
      <w:proofErr w:type="spellEnd"/>
    </w:p>
    <w:p w:rsidR="00751173" w:rsidRDefault="00751173" w:rsidP="00751173">
      <w:pPr>
        <w:pStyle w:val="a3"/>
      </w:pPr>
      <w:r>
        <w:t>Данный документ представляет собой изложение ключевых этапов и процедур конкурса, организованного для отбора внешнего поставщика на проект по созданию витрин данных по направлениям Розничный бизнес и ММСБ.</w:t>
      </w:r>
    </w:p>
    <w:p w:rsidR="00751173" w:rsidRDefault="000F31BB" w:rsidP="00751173">
      <w:r>
        <w:pict>
          <v:rect id="_x0000_i1025" style="width:0;height:1.5pt" o:hralign="center" o:hrstd="t" o:hr="t" fillcolor="#a0a0a0" stroked="f"/>
        </w:pict>
      </w:r>
    </w:p>
    <w:p w:rsidR="00751173" w:rsidRDefault="00751173" w:rsidP="00751173">
      <w:pPr>
        <w:pStyle w:val="3"/>
      </w:pPr>
      <w:r>
        <w:t>Этапы конкурса</w:t>
      </w:r>
    </w:p>
    <w:p w:rsidR="00751173" w:rsidRDefault="00751173" w:rsidP="00751173">
      <w:pPr>
        <w:pStyle w:val="a3"/>
      </w:pPr>
      <w:r>
        <w:rPr>
          <w:rStyle w:val="a5"/>
        </w:rPr>
        <w:t xml:space="preserve">Этап 1 – </w:t>
      </w:r>
      <w:proofErr w:type="spellStart"/>
      <w:r>
        <w:rPr>
          <w:rStyle w:val="a5"/>
        </w:rPr>
        <w:t>Предпроектное</w:t>
      </w:r>
      <w:proofErr w:type="spellEnd"/>
      <w:r>
        <w:rPr>
          <w:rStyle w:val="a5"/>
        </w:rPr>
        <w:t xml:space="preserve"> обследование</w:t>
      </w:r>
    </w:p>
    <w:p w:rsidR="00751173" w:rsidRDefault="00751173" w:rsidP="00751173">
      <w:pPr>
        <w:pStyle w:val="a3"/>
        <w:numPr>
          <w:ilvl w:val="0"/>
          <w:numId w:val="4"/>
        </w:numPr>
      </w:pPr>
      <w:r>
        <w:t>На первом этапе компании предоставляют коммерческие предложения, которые оцениваются на соответствие конкурсной документации и техническому заданию.</w:t>
      </w:r>
    </w:p>
    <w:p w:rsidR="00751173" w:rsidRDefault="00751173" w:rsidP="00751173">
      <w:pPr>
        <w:pStyle w:val="a3"/>
        <w:numPr>
          <w:ilvl w:val="0"/>
          <w:numId w:val="4"/>
        </w:numPr>
      </w:pPr>
      <w:r>
        <w:t>Для оценки используются следующие критерии:</w:t>
      </w:r>
    </w:p>
    <w:p w:rsidR="00D1631D" w:rsidRDefault="00D1631D" w:rsidP="00D1631D">
      <w:pPr>
        <w:numPr>
          <w:ilvl w:val="1"/>
          <w:numId w:val="4"/>
        </w:numPr>
        <w:spacing w:before="100" w:beforeAutospacing="1" w:after="100" w:afterAutospacing="1"/>
      </w:pPr>
      <w:r w:rsidRPr="00D1631D">
        <w:t xml:space="preserve">Общая </w:t>
      </w:r>
      <w:r w:rsidRPr="00D1631D">
        <w:rPr>
          <w:b/>
        </w:rPr>
        <w:t>максимальная</w:t>
      </w:r>
      <w:r w:rsidRPr="00D1631D">
        <w:t xml:space="preserve"> стоимость решения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>Стоимость этапа обследования.</w:t>
      </w:r>
    </w:p>
    <w:p w:rsidR="00751173" w:rsidRDefault="00D1631D" w:rsidP="00D1631D">
      <w:pPr>
        <w:numPr>
          <w:ilvl w:val="1"/>
          <w:numId w:val="4"/>
        </w:numPr>
        <w:spacing w:before="100" w:beforeAutospacing="1" w:after="100" w:afterAutospacing="1"/>
      </w:pPr>
      <w:r w:rsidRPr="00D1631D">
        <w:rPr>
          <w:b/>
        </w:rPr>
        <w:t>Максимальный</w:t>
      </w:r>
      <w:r w:rsidRPr="00D1631D">
        <w:t xml:space="preserve"> срок внедрения решения</w:t>
      </w:r>
      <w:r w:rsidR="00751173">
        <w:t>.</w:t>
      </w:r>
    </w:p>
    <w:p w:rsidR="00751173" w:rsidRDefault="00D1631D" w:rsidP="00751173">
      <w:pPr>
        <w:numPr>
          <w:ilvl w:val="1"/>
          <w:numId w:val="4"/>
        </w:numPr>
        <w:spacing w:before="100" w:beforeAutospacing="1" w:after="100" w:afterAutospacing="1"/>
      </w:pPr>
      <w:r>
        <w:t>Квалификация исполнителя, н</w:t>
      </w:r>
      <w:r w:rsidR="00751173">
        <w:t>аличие и ха</w:t>
      </w:r>
      <w:r>
        <w:t xml:space="preserve">рактер </w:t>
      </w:r>
      <w:proofErr w:type="spellStart"/>
      <w:r>
        <w:t>пререквизитов</w:t>
      </w:r>
      <w:proofErr w:type="spellEnd"/>
      <w:r>
        <w:t xml:space="preserve"> и оговорок – определяется по резюме конкурсной комиссии внутри Банка.</w:t>
      </w:r>
    </w:p>
    <w:p w:rsidR="00751173" w:rsidRDefault="00751173" w:rsidP="00751173">
      <w:pPr>
        <w:pStyle w:val="a3"/>
        <w:numPr>
          <w:ilvl w:val="0"/>
          <w:numId w:val="4"/>
        </w:numPr>
      </w:pPr>
      <w:r>
        <w:t>По результатам анализа отбираются две компании с наивысшими баллами.</w:t>
      </w:r>
    </w:p>
    <w:p w:rsidR="00751173" w:rsidRDefault="00751173" w:rsidP="00751173">
      <w:pPr>
        <w:pStyle w:val="a3"/>
        <w:numPr>
          <w:ilvl w:val="0"/>
          <w:numId w:val="4"/>
        </w:numPr>
      </w:pPr>
      <w:r>
        <w:t xml:space="preserve">Банк заключает договоры с двумя отобранными компаниями на проведение </w:t>
      </w:r>
      <w:proofErr w:type="spellStart"/>
      <w:r>
        <w:t>предпроектного</w:t>
      </w:r>
      <w:proofErr w:type="spellEnd"/>
      <w:r>
        <w:t xml:space="preserve"> обследования.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 xml:space="preserve">Стоимость этапа </w:t>
      </w:r>
      <w:proofErr w:type="spellStart"/>
      <w:r>
        <w:t>предпроектного</w:t>
      </w:r>
      <w:proofErr w:type="spellEnd"/>
      <w:r>
        <w:t xml:space="preserve"> обследования оплачивается Банком и не превышает </w:t>
      </w:r>
      <w:r w:rsidRPr="00D1631D">
        <w:rPr>
          <w:b/>
        </w:rPr>
        <w:t>15 тысяч долларов США (включая НДС)</w:t>
      </w:r>
      <w:r>
        <w:t xml:space="preserve"> для каждой компании.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 xml:space="preserve">Срок выполнения </w:t>
      </w:r>
      <w:proofErr w:type="spellStart"/>
      <w:r>
        <w:t>предпроектного</w:t>
      </w:r>
      <w:proofErr w:type="spellEnd"/>
      <w:r>
        <w:t xml:space="preserve"> обследования – </w:t>
      </w:r>
      <w:r w:rsidR="00D1631D" w:rsidRPr="00D1631D">
        <w:rPr>
          <w:b/>
        </w:rPr>
        <w:t>три недели</w:t>
      </w:r>
      <w:r>
        <w:t xml:space="preserve"> с момента предоставления всех необходимых условий со стороны Банка.</w:t>
      </w:r>
    </w:p>
    <w:p w:rsidR="00751173" w:rsidRDefault="00751173" w:rsidP="00751173">
      <w:pPr>
        <w:pStyle w:val="a3"/>
        <w:numPr>
          <w:ilvl w:val="0"/>
          <w:numId w:val="4"/>
        </w:numPr>
      </w:pPr>
      <w:r w:rsidRPr="00751173">
        <w:rPr>
          <w:bCs/>
        </w:rPr>
        <w:t>Результаты выполнения этапа 1</w:t>
      </w:r>
      <w:r>
        <w:br/>
        <w:t>По завершении стадии подготовки и сбора данных Исполнитель обязан предоставить Заказчику письменный документ, включающий: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rPr>
          <w:rStyle w:val="a5"/>
        </w:rPr>
        <w:t>Оценку состояния источников данных</w:t>
      </w:r>
      <w:r>
        <w:t>, включая полноту данных, качество данных, стабильность источников, регулярность обновления источников, наличие необходимых данных и их связанность (например, возможность объединения всех источников для формирования итоговых витрин).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rPr>
          <w:rStyle w:val="a5"/>
        </w:rPr>
        <w:t>Описание текущей и рекомендуемой архитектуры инфраструктуры</w:t>
      </w:r>
      <w:r>
        <w:t>, включая требования к оборудованию.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rPr>
          <w:rStyle w:val="a5"/>
        </w:rPr>
        <w:t>Стратегию развертывания необходимой инфраструктуры</w:t>
      </w:r>
      <w:r>
        <w:t>, основанную на анализе требований и предложенной архитектуры.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rPr>
          <w:rStyle w:val="a5"/>
        </w:rPr>
        <w:t>Дорожную карту проекта</w:t>
      </w:r>
      <w:r>
        <w:t xml:space="preserve">, включающую </w:t>
      </w:r>
      <w:proofErr w:type="spellStart"/>
      <w:r>
        <w:t>приоритизацию</w:t>
      </w:r>
      <w:proofErr w:type="spellEnd"/>
      <w:r>
        <w:t xml:space="preserve"> задач, ожидаемые сроки выполнения, ресурсный план и </w:t>
      </w:r>
      <w:proofErr w:type="spellStart"/>
      <w:r>
        <w:t>аллокацию</w:t>
      </w:r>
      <w:proofErr w:type="spellEnd"/>
      <w:r>
        <w:t xml:space="preserve"> команды для реализации MVP и всего </w:t>
      </w:r>
      <w:proofErr w:type="spellStart"/>
      <w:r>
        <w:t>скоупа</w:t>
      </w:r>
      <w:proofErr w:type="spellEnd"/>
      <w:r>
        <w:t xml:space="preserve"> витрин.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rPr>
          <w:rStyle w:val="a5"/>
        </w:rPr>
        <w:t>Анализ потенциальных рисков</w:t>
      </w:r>
      <w:r>
        <w:t xml:space="preserve"> и предложенные меры по их смягчению.</w:t>
      </w:r>
    </w:p>
    <w:p w:rsidR="00751173" w:rsidRPr="00751173" w:rsidRDefault="00751173" w:rsidP="00751173">
      <w:pPr>
        <w:pStyle w:val="a3"/>
        <w:numPr>
          <w:ilvl w:val="1"/>
          <w:numId w:val="7"/>
        </w:numPr>
        <w:ind w:firstLine="774"/>
        <w:rPr>
          <w:bCs/>
        </w:rPr>
      </w:pPr>
      <w:r>
        <w:rPr>
          <w:bCs/>
        </w:rPr>
        <w:t>К</w:t>
      </w:r>
      <w:r w:rsidRPr="00751173">
        <w:rPr>
          <w:bCs/>
        </w:rPr>
        <w:t>омпании представляют уточнённые коммерческие предложения, содержащие: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>Детализированную стоимость реализации проекта</w:t>
      </w:r>
      <w:r w:rsidR="0015190E">
        <w:t xml:space="preserve"> – </w:t>
      </w:r>
      <w:proofErr w:type="gramStart"/>
      <w:r w:rsidR="0015190E" w:rsidRPr="0015190E">
        <w:rPr>
          <w:b/>
          <w:u w:val="single"/>
        </w:rPr>
        <w:t>не превышающую максимальную стоимость</w:t>
      </w:r>
      <w:proofErr w:type="gramEnd"/>
      <w:r w:rsidR="0015190E" w:rsidRPr="0015190E">
        <w:rPr>
          <w:b/>
          <w:u w:val="single"/>
        </w:rPr>
        <w:t xml:space="preserve"> объявленную до этапа обследования.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>Актуализированные сроки выполнения работ</w:t>
      </w:r>
      <w:r w:rsidR="0015190E">
        <w:t xml:space="preserve"> </w:t>
      </w:r>
      <w:r w:rsidR="0015190E" w:rsidRPr="0015190E">
        <w:rPr>
          <w:b/>
          <w:u w:val="single"/>
        </w:rPr>
        <w:t xml:space="preserve">не </w:t>
      </w:r>
      <w:r w:rsidR="0015190E">
        <w:rPr>
          <w:b/>
          <w:u w:val="single"/>
        </w:rPr>
        <w:t>превышающие максимальные сроки</w:t>
      </w:r>
      <w:r w:rsidR="0015190E" w:rsidRPr="0015190E">
        <w:rPr>
          <w:b/>
          <w:u w:val="single"/>
        </w:rPr>
        <w:t xml:space="preserve"> </w:t>
      </w:r>
      <w:r w:rsidR="0015190E">
        <w:rPr>
          <w:b/>
          <w:u w:val="single"/>
        </w:rPr>
        <w:t>объявленные</w:t>
      </w:r>
      <w:r w:rsidR="0015190E" w:rsidRPr="0015190E">
        <w:rPr>
          <w:b/>
          <w:u w:val="single"/>
        </w:rPr>
        <w:t xml:space="preserve"> до этапа обследования.</w:t>
      </w:r>
    </w:p>
    <w:p w:rsidR="00751173" w:rsidRDefault="00751173" w:rsidP="00751173">
      <w:pPr>
        <w:numPr>
          <w:ilvl w:val="1"/>
          <w:numId w:val="4"/>
        </w:numPr>
        <w:spacing w:before="100" w:beforeAutospacing="1" w:after="100" w:afterAutospacing="1"/>
      </w:pPr>
      <w:r>
        <w:t>Уточнённый объём и содержание работ (</w:t>
      </w:r>
      <w:proofErr w:type="spellStart"/>
      <w:r>
        <w:t>скоуп</w:t>
      </w:r>
      <w:proofErr w:type="spellEnd"/>
      <w:r>
        <w:t>).</w:t>
      </w:r>
    </w:p>
    <w:p w:rsidR="000F31BB" w:rsidRDefault="000F31BB" w:rsidP="00751173">
      <w:pPr>
        <w:numPr>
          <w:ilvl w:val="1"/>
          <w:numId w:val="4"/>
        </w:numPr>
        <w:spacing w:before="100" w:beforeAutospacing="1" w:after="100" w:afterAutospacing="1"/>
      </w:pPr>
      <w:proofErr w:type="spellStart"/>
      <w:r>
        <w:t>Скоуп</w:t>
      </w:r>
      <w:proofErr w:type="spellEnd"/>
      <w:r>
        <w:t xml:space="preserve"> работ может быть снижен только </w:t>
      </w:r>
      <w:bookmarkStart w:id="0" w:name="_GoBack"/>
      <w:bookmarkEnd w:id="0"/>
    </w:p>
    <w:p w:rsidR="00751173" w:rsidRDefault="000F31BB" w:rsidP="00751173">
      <w:r>
        <w:pict>
          <v:rect id="_x0000_i1026" style="width:0;height:1.5pt" o:hralign="center" o:hrstd="t" o:hr="t" fillcolor="#a0a0a0" stroked="f"/>
        </w:pict>
      </w:r>
    </w:p>
    <w:p w:rsidR="00751173" w:rsidRDefault="00751173" w:rsidP="00751173">
      <w:pPr>
        <w:pStyle w:val="a3"/>
      </w:pPr>
      <w:r>
        <w:rPr>
          <w:rStyle w:val="a5"/>
        </w:rPr>
        <w:lastRenderedPageBreak/>
        <w:t>Этап 2 – Реализация проекта</w:t>
      </w:r>
    </w:p>
    <w:p w:rsidR="00751173" w:rsidRDefault="00751173" w:rsidP="00751173">
      <w:pPr>
        <w:pStyle w:val="a3"/>
        <w:numPr>
          <w:ilvl w:val="0"/>
          <w:numId w:val="5"/>
        </w:numPr>
      </w:pPr>
      <w:r>
        <w:t>На втором этапе проводится повторная оценка предложений двух компаний, прошедших этап 1.</w:t>
      </w:r>
    </w:p>
    <w:p w:rsidR="00751173" w:rsidRDefault="00751173" w:rsidP="00751173">
      <w:pPr>
        <w:pStyle w:val="a3"/>
        <w:numPr>
          <w:ilvl w:val="0"/>
          <w:numId w:val="5"/>
        </w:numPr>
      </w:pPr>
      <w:r>
        <w:t>Для выбора победителя используются следующие критерии:</w:t>
      </w:r>
    </w:p>
    <w:p w:rsidR="00751173" w:rsidRDefault="00751173" w:rsidP="00751173">
      <w:pPr>
        <w:numPr>
          <w:ilvl w:val="1"/>
          <w:numId w:val="5"/>
        </w:numPr>
        <w:spacing w:before="100" w:beforeAutospacing="1" w:after="100" w:afterAutospacing="1"/>
      </w:pPr>
      <w:r>
        <w:t>Стоимость реализации проекта.</w:t>
      </w:r>
    </w:p>
    <w:p w:rsidR="00751173" w:rsidRDefault="00751173" w:rsidP="00751173">
      <w:pPr>
        <w:numPr>
          <w:ilvl w:val="1"/>
          <w:numId w:val="5"/>
        </w:numPr>
        <w:spacing w:before="100" w:beforeAutospacing="1" w:after="100" w:afterAutospacing="1"/>
      </w:pPr>
      <w:r>
        <w:t>Срок выполнения работ.</w:t>
      </w:r>
    </w:p>
    <w:p w:rsidR="00751173" w:rsidRDefault="00751173" w:rsidP="00751173">
      <w:pPr>
        <w:numPr>
          <w:ilvl w:val="1"/>
          <w:numId w:val="5"/>
        </w:numPr>
        <w:spacing w:before="100" w:beforeAutospacing="1" w:after="100" w:afterAutospacing="1"/>
      </w:pPr>
      <w:r>
        <w:t>Полный объём и содержание работ (</w:t>
      </w:r>
      <w:proofErr w:type="spellStart"/>
      <w:r>
        <w:t>скоуп</w:t>
      </w:r>
      <w:proofErr w:type="spellEnd"/>
      <w:r>
        <w:t>), включая проработку витрин данных для каждого направления.</w:t>
      </w:r>
    </w:p>
    <w:p w:rsidR="00D1631D" w:rsidRDefault="00D1631D" w:rsidP="00D1631D">
      <w:pPr>
        <w:numPr>
          <w:ilvl w:val="1"/>
          <w:numId w:val="5"/>
        </w:numPr>
        <w:spacing w:before="100" w:beforeAutospacing="1" w:after="100" w:afterAutospacing="1"/>
      </w:pPr>
      <w:r>
        <w:t xml:space="preserve">Квалификация исполнителя, наличие и характер </w:t>
      </w:r>
      <w:proofErr w:type="spellStart"/>
      <w:r>
        <w:t>пререквизитов</w:t>
      </w:r>
      <w:proofErr w:type="spellEnd"/>
      <w:r>
        <w:t xml:space="preserve"> и оговорок – определяется по резюме конкурсной комиссии внутри Банка.</w:t>
      </w:r>
    </w:p>
    <w:p w:rsidR="00751173" w:rsidRDefault="00751173" w:rsidP="00751173">
      <w:pPr>
        <w:pStyle w:val="a3"/>
        <w:numPr>
          <w:ilvl w:val="0"/>
          <w:numId w:val="5"/>
        </w:numPr>
      </w:pPr>
      <w:r>
        <w:t>Оценка производится с использованием весовых коэффициентов для каждого критерия, а итоговая комплексная оценка рассчитывается как сумма баллов по всем параметрам.</w:t>
      </w:r>
    </w:p>
    <w:p w:rsidR="00751173" w:rsidRDefault="00751173" w:rsidP="00751173">
      <w:pPr>
        <w:pStyle w:val="a3"/>
        <w:numPr>
          <w:ilvl w:val="0"/>
          <w:numId w:val="5"/>
        </w:numPr>
      </w:pPr>
      <w:r>
        <w:t>По результатам оценки выбирается одна компания, которая будет реализовывать проект.</w:t>
      </w:r>
    </w:p>
    <w:p w:rsidR="00751173" w:rsidRDefault="000F31BB" w:rsidP="00751173">
      <w:r>
        <w:pict>
          <v:rect id="_x0000_i1027" style="width:0;height:1.5pt" o:hralign="center" o:hrstd="t" o:hr="t" fillcolor="#a0a0a0" stroked="f"/>
        </w:pict>
      </w:r>
    </w:p>
    <w:p w:rsidR="00751173" w:rsidRDefault="00751173" w:rsidP="00751173">
      <w:pPr>
        <w:pStyle w:val="3"/>
      </w:pPr>
      <w:r>
        <w:t>Выбор победителя</w:t>
      </w:r>
    </w:p>
    <w:p w:rsidR="00751173" w:rsidRDefault="00751173" w:rsidP="00751173">
      <w:pPr>
        <w:numPr>
          <w:ilvl w:val="0"/>
          <w:numId w:val="6"/>
        </w:numPr>
        <w:spacing w:before="100" w:beforeAutospacing="1" w:after="100" w:afterAutospacing="1"/>
      </w:pPr>
      <w:r>
        <w:t>Победителем признаётся участник с наивысшей комплексной оценкой по итогам этапа 2.</w:t>
      </w:r>
    </w:p>
    <w:p w:rsidR="00751173" w:rsidRDefault="00751173" w:rsidP="00751173">
      <w:pPr>
        <w:numPr>
          <w:ilvl w:val="0"/>
          <w:numId w:val="6"/>
        </w:numPr>
        <w:spacing w:before="100" w:beforeAutospacing="1" w:after="100" w:afterAutospacing="1"/>
      </w:pPr>
      <w:r>
        <w:t>В случае отказа победителя от заключения договора, право на реализацию проекта переходит ко второй компании, участвовавшей в этапе 2.</w:t>
      </w:r>
    </w:p>
    <w:p w:rsidR="00751173" w:rsidRDefault="000F31BB" w:rsidP="00751173">
      <w:r>
        <w:pict>
          <v:rect id="_x0000_i1028" style="width:0;height:1.5pt" o:hralign="center" o:hrstd="t" o:hr="t" fillcolor="#a0a0a0" stroked="f"/>
        </w:pict>
      </w:r>
    </w:p>
    <w:p w:rsidR="00751173" w:rsidRDefault="00751173" w:rsidP="00751173">
      <w:pPr>
        <w:pStyle w:val="3"/>
      </w:pPr>
      <w:r>
        <w:t>Цель методики</w:t>
      </w:r>
    </w:p>
    <w:p w:rsidR="00751173" w:rsidRDefault="00751173" w:rsidP="00751173">
      <w:pPr>
        <w:pStyle w:val="a3"/>
      </w:pPr>
      <w:r>
        <w:t>Методика направлена на прозрачный и объективный выбор поставщика, который максимально эффективно выполнит задачи по построению витрин данных, обеспечив их соответствие техническим требованиям и стратегическим целям Банка.</w:t>
      </w:r>
    </w:p>
    <w:p w:rsidR="00751173" w:rsidRDefault="00751173" w:rsidP="00751173">
      <w:pPr>
        <w:pStyle w:val="a3"/>
      </w:pPr>
      <w:r>
        <w:t>Данная структура обеспечивает ясность всех этапов конкурса и критериев оценки, минимизирует риски и позволяет Банку выбрать оптимального партнёра для реализации проекта.</w:t>
      </w:r>
    </w:p>
    <w:p w:rsidR="005A27F8" w:rsidRPr="00726E39" w:rsidRDefault="000F31BB">
      <w:pPr>
        <w:rPr>
          <w:lang w:val="x-none"/>
        </w:rPr>
      </w:pPr>
    </w:p>
    <w:sectPr w:rsidR="005A27F8" w:rsidRPr="0072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Harmonica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017D9"/>
    <w:multiLevelType w:val="multilevel"/>
    <w:tmpl w:val="2AD0E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9341B"/>
    <w:multiLevelType w:val="multilevel"/>
    <w:tmpl w:val="690EB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266974"/>
    <w:multiLevelType w:val="multilevel"/>
    <w:tmpl w:val="CA4AF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EE718F"/>
    <w:multiLevelType w:val="multilevel"/>
    <w:tmpl w:val="93103C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0E67F3"/>
    <w:multiLevelType w:val="multilevel"/>
    <w:tmpl w:val="6A32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624E61"/>
    <w:multiLevelType w:val="multilevel"/>
    <w:tmpl w:val="6CFC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247847"/>
    <w:multiLevelType w:val="multilevel"/>
    <w:tmpl w:val="0748C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0B"/>
    <w:rsid w:val="000F31BB"/>
    <w:rsid w:val="0015190E"/>
    <w:rsid w:val="005663C6"/>
    <w:rsid w:val="00726E39"/>
    <w:rsid w:val="0073667C"/>
    <w:rsid w:val="00751173"/>
    <w:rsid w:val="0076184D"/>
    <w:rsid w:val="008E610B"/>
    <w:rsid w:val="00B925BF"/>
    <w:rsid w:val="00D1631D"/>
    <w:rsid w:val="00EC3F5B"/>
    <w:rsid w:val="00F1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035F"/>
  <w15:chartTrackingRefBased/>
  <w15:docId w15:val="{3C896A56-C4E3-4295-A0CA-C831BCFB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E39"/>
    <w:pPr>
      <w:spacing w:after="0" w:line="240" w:lineRule="auto"/>
    </w:pPr>
    <w:rPr>
      <w:rFonts w:ascii="NTHarmonica" w:eastAsia="Times New Roman" w:hAnsi="NTHarmonica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26E3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6E3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rsid w:val="00726E3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uiPriority w:val="99"/>
    <w:rsid w:val="00726E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Strong"/>
    <w:uiPriority w:val="22"/>
    <w:qFormat/>
    <w:rsid w:val="00726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Иванюшенков Юрий Александрович</dc:creator>
  <cp:keywords/>
  <dc:description/>
  <cp:lastModifiedBy>Иванюшенков Юрий Александрович</cp:lastModifiedBy>
  <cp:revision>2</cp:revision>
  <dcterms:created xsi:type="dcterms:W3CDTF">2025-01-31T10:08:00Z</dcterms:created>
  <dcterms:modified xsi:type="dcterms:W3CDTF">2025-02-03T08:08:00Z</dcterms:modified>
</cp:coreProperties>
</file>