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1940" w14:textId="77777777" w:rsidR="00363673" w:rsidRDefault="007B7257">
      <w:pPr>
        <w:jc w:val="right"/>
      </w:pPr>
      <w:r>
        <w:t>Приложение №4</w:t>
      </w:r>
    </w:p>
    <w:p w14:paraId="70011941" w14:textId="77777777" w:rsidR="00363673" w:rsidRDefault="007B7257">
      <w:pPr>
        <w:jc w:val="right"/>
      </w:pPr>
      <w:r>
        <w:t>к Конкурсной документации</w:t>
      </w:r>
    </w:p>
    <w:p w14:paraId="70011942" w14:textId="77777777" w:rsidR="00363673" w:rsidRDefault="007B7257">
      <w:pPr>
        <w:pStyle w:val="a6"/>
        <w:spacing w:after="0"/>
        <w:jc w:val="center"/>
        <w:rPr>
          <w:b/>
          <w:bCs/>
          <w:sz w:val="28"/>
          <w:szCs w:val="28"/>
        </w:rPr>
      </w:pPr>
      <w:bookmarkStart w:id="0" w:name="_heading=h.5cyhhzvv77s2"/>
      <w:bookmarkEnd w:id="0"/>
      <w:r>
        <w:rPr>
          <w:b/>
          <w:bCs/>
          <w:sz w:val="28"/>
          <w:szCs w:val="28"/>
        </w:rPr>
        <w:t xml:space="preserve">Техническое задание по конкурсу </w:t>
      </w:r>
    </w:p>
    <w:p w14:paraId="70011943" w14:textId="77777777" w:rsidR="00363673" w:rsidRDefault="007B7257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«Внедрение системы «Аудиомониторинг» (покупка лицензий, внедрение ПО, техническая поддержка)»</w:t>
      </w:r>
    </w:p>
    <w:p w14:paraId="70011944" w14:textId="77777777" w:rsidR="00363673" w:rsidRDefault="007B7257">
      <w:pPr>
        <w:pStyle w:val="1"/>
        <w:numPr>
          <w:ilvl w:val="0"/>
          <w:numId w:val="5"/>
        </w:numPr>
      </w:pPr>
      <w:bookmarkStart w:id="1" w:name="_heading=h.h6coshiiv5ws"/>
      <w:bookmarkEnd w:id="1"/>
      <w:r>
        <w:t>Назначение проекта и общие положения</w:t>
      </w:r>
    </w:p>
    <w:p w14:paraId="70011945" w14:textId="77777777" w:rsidR="00363673" w:rsidRDefault="007B7257">
      <w:pPr>
        <w:ind w:firstLine="708"/>
        <w:rPr>
          <w:sz w:val="24"/>
          <w:szCs w:val="24"/>
        </w:rPr>
      </w:pPr>
      <w:r>
        <w:rPr>
          <w:sz w:val="24"/>
          <w:szCs w:val="24"/>
        </w:rPr>
        <w:t>Разработка, внедрение и поддержка новой системы «Аудиомониторинг» для АКБ «Hamkorbank». Решение должно удовлетворять функциональным и техническим требованиям банка, обеспечивать масштабируемость, высокую производительность и отказоустойчивость.</w:t>
      </w:r>
    </w:p>
    <w:p w14:paraId="70011946" w14:textId="77777777" w:rsidR="00363673" w:rsidRDefault="007B7257">
      <w:pPr>
        <w:ind w:firstLine="708"/>
        <w:rPr>
          <w:sz w:val="24"/>
          <w:szCs w:val="24"/>
        </w:rPr>
      </w:pPr>
      <w:r>
        <w:rPr>
          <w:sz w:val="24"/>
          <w:szCs w:val="24"/>
        </w:rPr>
        <w:t>Основная цель проекта: повышение качества обслуживания клиентов в дистанционных каналах обслуживания:</w:t>
      </w:r>
    </w:p>
    <w:p w14:paraId="70011947" w14:textId="77777777" w:rsidR="00363673" w:rsidRDefault="007B7257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Звонки чаты, входящие/исходящие:</w:t>
      </w:r>
    </w:p>
    <w:p w14:paraId="70011948" w14:textId="77777777" w:rsidR="00363673" w:rsidRDefault="007B7257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КЦ розницы;</w:t>
      </w:r>
    </w:p>
    <w:p w14:paraId="70011949" w14:textId="77777777" w:rsidR="00363673" w:rsidRDefault="007B7257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Дистанционное обслуживание ММСБ;</w:t>
      </w:r>
    </w:p>
    <w:p w14:paraId="7001194A" w14:textId="77777777" w:rsidR="00363673" w:rsidRDefault="007B7257">
      <w:pPr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КЦ взыскания;</w:t>
      </w:r>
    </w:p>
    <w:p w14:paraId="7001194B" w14:textId="77777777" w:rsidR="00363673" w:rsidRDefault="007B7257">
      <w:pPr>
        <w:spacing w:before="20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Предполагается, что три направления АКБ “Hamkorbank” будут поддерживать коммуникации с клиентами (физическими и юридическими лицами) в указанных выше каналах по следующим сценариям: </w:t>
      </w:r>
    </w:p>
    <w:p w14:paraId="7001194C" w14:textId="77777777" w:rsidR="00363673" w:rsidRDefault="007B7257">
      <w:pPr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КЦ Розницы</w:t>
      </w:r>
      <w:r>
        <w:rPr>
          <w:sz w:val="24"/>
          <w:szCs w:val="24"/>
        </w:rPr>
        <w:t>. Входящие и Исходящие обращения действующих и потенциальных клиентов по сервисному обслуживанию и продуктам Банка;</w:t>
      </w:r>
    </w:p>
    <w:p w14:paraId="7001194D" w14:textId="77777777" w:rsidR="00363673" w:rsidRDefault="007B7257">
      <w:pPr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КЦ Службы взыскания</w:t>
      </w:r>
      <w:r>
        <w:rPr>
          <w:sz w:val="24"/>
          <w:szCs w:val="24"/>
        </w:rPr>
        <w:t>. Коммуникации по вопросам взыскания кредитной задолженности с клиентами Банка и сбор обратной связи от клиентов;</w:t>
      </w:r>
    </w:p>
    <w:p w14:paraId="7001194E" w14:textId="77777777" w:rsidR="00363673" w:rsidRDefault="007B7257">
      <w:pPr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Дистанционное обслуживание ММСБ</w:t>
      </w:r>
      <w:r>
        <w:rPr>
          <w:sz w:val="24"/>
          <w:szCs w:val="24"/>
        </w:rPr>
        <w:t>. Сервисное обслуживание текущих продуктов бизнес-клиентов, а также, осуществление продаж банковских продуктов потенциальным и действующим клиентам.</w:t>
      </w:r>
    </w:p>
    <w:p w14:paraId="7001194F" w14:textId="77777777" w:rsidR="00363673" w:rsidRDefault="007B7257">
      <w:pPr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В связи с этим, одним из основных требований к системе «Аудиомониторинг» является возможность выделения </w:t>
      </w:r>
      <w:r>
        <w:rPr>
          <w:b/>
          <w:bCs/>
          <w:sz w:val="24"/>
          <w:szCs w:val="24"/>
        </w:rPr>
        <w:t>отдельного рабочего пространства</w:t>
      </w:r>
      <w:r>
        <w:rPr>
          <w:sz w:val="24"/>
          <w:szCs w:val="24"/>
        </w:rPr>
        <w:t xml:space="preserve"> на уровне административной панели для каждого из указанных выше подразделений. Возможность гибко настраивать права доступа для каждого бизнес-направления в отдельности.</w:t>
      </w:r>
    </w:p>
    <w:p w14:paraId="70011950" w14:textId="77777777" w:rsidR="00363673" w:rsidRDefault="00363673">
      <w:pPr>
        <w:ind w:firstLine="0"/>
        <w:rPr>
          <w:sz w:val="24"/>
          <w:szCs w:val="24"/>
        </w:rPr>
      </w:pPr>
    </w:p>
    <w:p w14:paraId="70011951" w14:textId="77777777" w:rsidR="00363673" w:rsidRDefault="007B7257">
      <w:pPr>
        <w:numPr>
          <w:ilvl w:val="0"/>
          <w:numId w:val="5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Общие требования по конкурсу:</w:t>
      </w:r>
    </w:p>
    <w:p w14:paraId="70011952" w14:textId="77777777" w:rsidR="00363673" w:rsidRDefault="007B7257">
      <w:pPr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В рамках Конкурса рассматривается один лот.</w:t>
      </w:r>
    </w:p>
    <w:p w14:paraId="70011953" w14:textId="77777777" w:rsidR="00363673" w:rsidRDefault="007B7257">
      <w:pPr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Тип закупаемой продукции - Программное обеспечение и интеграционные услуги.</w:t>
      </w:r>
    </w:p>
    <w:p w14:paraId="70011954" w14:textId="77777777" w:rsidR="00363673" w:rsidRDefault="007B7257">
      <w:pPr>
        <w:numPr>
          <w:ilvl w:val="0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Конкурс проводится в два этапа:</w:t>
      </w:r>
    </w:p>
    <w:p w14:paraId="70011955" w14:textId="77777777" w:rsidR="00363673" w:rsidRDefault="007B7257">
      <w:pPr>
        <w:numPr>
          <w:ilvl w:val="1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Этап №1 - “Квалификационный”:</w:t>
      </w:r>
    </w:p>
    <w:p w14:paraId="70011956" w14:textId="77777777" w:rsidR="00363673" w:rsidRDefault="007B7257">
      <w:pPr>
        <w:numPr>
          <w:ilvl w:val="2"/>
          <w:numId w:val="1"/>
        </w:numPr>
        <w:spacing w:line="240" w:lineRule="auto"/>
        <w:ind w:left="1276" w:hanging="317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Подача предложений Участниками в установленный Банком на сайте срок;</w:t>
      </w:r>
    </w:p>
    <w:p w14:paraId="70011957" w14:textId="77777777" w:rsidR="00363673" w:rsidRDefault="007B7257">
      <w:pPr>
        <w:numPr>
          <w:ilvl w:val="2"/>
          <w:numId w:val="1"/>
        </w:numPr>
        <w:spacing w:line="240" w:lineRule="auto"/>
        <w:ind w:left="1276" w:hanging="317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Рассмотрение предложений, ответы на вопросы кандидатов;</w:t>
      </w:r>
    </w:p>
    <w:p w14:paraId="70011958" w14:textId="77777777" w:rsidR="00363673" w:rsidRDefault="007B7257">
      <w:pPr>
        <w:numPr>
          <w:ilvl w:val="2"/>
          <w:numId w:val="1"/>
        </w:numPr>
        <w:spacing w:line="240" w:lineRule="auto"/>
        <w:ind w:left="1276" w:hanging="283"/>
        <w:jc w:val="lef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Предложения внедрения системы на все каналы;</w:t>
      </w:r>
    </w:p>
    <w:p w14:paraId="70011959" w14:textId="77777777" w:rsidR="00363673" w:rsidRDefault="007B7257">
      <w:pPr>
        <w:numPr>
          <w:ilvl w:val="2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Формирование списка </w:t>
      </w:r>
      <w:r>
        <w:rPr>
          <w:sz w:val="24"/>
          <w:szCs w:val="24"/>
          <w:lang w:val="uz-Cyrl-UZ"/>
        </w:rPr>
        <w:t xml:space="preserve">участников, </w:t>
      </w:r>
      <w:r>
        <w:rPr>
          <w:sz w:val="24"/>
          <w:szCs w:val="24"/>
        </w:rPr>
        <w:t>допущенных на Этап №2;</w:t>
      </w:r>
    </w:p>
    <w:p w14:paraId="7001195A" w14:textId="77777777" w:rsidR="00363673" w:rsidRDefault="007B7257">
      <w:pPr>
        <w:numPr>
          <w:ilvl w:val="1"/>
          <w:numId w:val="1"/>
        </w:numPr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Этап №2 - “Выполнение тестового задания”:</w:t>
      </w:r>
    </w:p>
    <w:p w14:paraId="7001195B" w14:textId="77777777" w:rsidR="00363673" w:rsidRDefault="007B7257">
      <w:pPr>
        <w:numPr>
          <w:ilvl w:val="2"/>
          <w:numId w:val="1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lastRenderedPageBreak/>
        <w:t>На выполнение тестово</w:t>
      </w:r>
      <w:r>
        <w:rPr>
          <w:color w:val="000000"/>
          <w:sz w:val="24"/>
          <w:szCs w:val="24"/>
          <w:lang w:val="ru-RU"/>
        </w:rPr>
        <w:t xml:space="preserve">го задания дается 5 рабочих дней после подписания Соглашения </w:t>
      </w:r>
      <w:r>
        <w:rPr>
          <w:color w:val="000000"/>
          <w:sz w:val="24"/>
          <w:szCs w:val="24"/>
          <w:lang w:val="en-US"/>
        </w:rPr>
        <w:t>NDA</w:t>
      </w:r>
      <w:r>
        <w:rPr>
          <w:color w:val="000000"/>
          <w:sz w:val="24"/>
          <w:szCs w:val="24"/>
          <w:lang w:val="ru-RU"/>
        </w:rPr>
        <w:t xml:space="preserve"> (между банком и участником Этапа №2);</w:t>
      </w:r>
    </w:p>
    <w:p w14:paraId="7001195C" w14:textId="77777777" w:rsidR="00363673" w:rsidRDefault="007B7257">
      <w:pPr>
        <w:numPr>
          <w:ilvl w:val="2"/>
          <w:numId w:val="1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Передача образцов аудиозаписей</w:t>
      </w:r>
      <w:r>
        <w:rPr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участниками Этапа №2</w:t>
      </w:r>
      <w:r>
        <w:rPr>
          <w:sz w:val="24"/>
          <w:szCs w:val="24"/>
        </w:rPr>
        <w:t xml:space="preserve"> для демонстрации возможностей предлагаемого программного обеспечения;</w:t>
      </w:r>
    </w:p>
    <w:p w14:paraId="7001195D" w14:textId="77777777" w:rsidR="00363673" w:rsidRDefault="007B7257">
      <w:pPr>
        <w:numPr>
          <w:ilvl w:val="2"/>
          <w:numId w:val="1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Рассмотрение демо-стендов с обработанными аудиозаписями (транскрибация, контроль преднастроенных чек-листов);</w:t>
      </w:r>
    </w:p>
    <w:p w14:paraId="7001195E" w14:textId="77777777" w:rsidR="00363673" w:rsidRDefault="007B7257">
      <w:pPr>
        <w:numPr>
          <w:ilvl w:val="2"/>
          <w:numId w:val="1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Оценка результатов транскрибации и контроля чек-листов;</w:t>
      </w:r>
    </w:p>
    <w:p w14:paraId="7001195F" w14:textId="5938CC61" w:rsidR="00363673" w:rsidRDefault="007B7257">
      <w:pPr>
        <w:numPr>
          <w:ilvl w:val="2"/>
          <w:numId w:val="1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ереговоры</w:t>
      </w:r>
      <w:r>
        <w:rPr>
          <w:sz w:val="24"/>
          <w:szCs w:val="24"/>
          <w:lang w:val="ru-RU"/>
        </w:rPr>
        <w:t>, п</w:t>
      </w:r>
      <w:r>
        <w:rPr>
          <w:sz w:val="24"/>
          <w:szCs w:val="24"/>
        </w:rPr>
        <w:t xml:space="preserve">ри необходимости, </w:t>
      </w:r>
      <w:r>
        <w:rPr>
          <w:sz w:val="24"/>
          <w:szCs w:val="24"/>
        </w:rPr>
        <w:t xml:space="preserve">с </w:t>
      </w:r>
      <w:r>
        <w:rPr>
          <w:color w:val="000000"/>
          <w:sz w:val="24"/>
          <w:szCs w:val="24"/>
          <w:lang w:val="ru-RU"/>
        </w:rPr>
        <w:t xml:space="preserve">участниками Этапа №2 </w:t>
      </w:r>
      <w:r>
        <w:rPr>
          <w:sz w:val="24"/>
          <w:szCs w:val="24"/>
        </w:rPr>
        <w:t>с учетом итогов проведенной оценки транскрибации и контроля чек-листов;</w:t>
      </w:r>
    </w:p>
    <w:p w14:paraId="70011960" w14:textId="77777777" w:rsidR="00363673" w:rsidRDefault="007B7257">
      <w:pPr>
        <w:numPr>
          <w:ilvl w:val="2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Комплексная оценка </w:t>
      </w:r>
      <w:r>
        <w:rPr>
          <w:sz w:val="24"/>
          <w:szCs w:val="24"/>
          <w:lang w:val="ru-RU"/>
        </w:rPr>
        <w:t xml:space="preserve">предложений </w:t>
      </w:r>
      <w:r>
        <w:rPr>
          <w:sz w:val="24"/>
          <w:szCs w:val="24"/>
        </w:rPr>
        <w:t>финалистов по итогам двух этапов;</w:t>
      </w:r>
    </w:p>
    <w:p w14:paraId="70011961" w14:textId="77777777" w:rsidR="00363673" w:rsidRDefault="007B7257">
      <w:pPr>
        <w:numPr>
          <w:ilvl w:val="2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Переторжка и получение итоговых конкурсных предложений;</w:t>
      </w:r>
    </w:p>
    <w:p w14:paraId="70011962" w14:textId="77777777" w:rsidR="00363673" w:rsidRDefault="007B7257">
      <w:pPr>
        <w:numPr>
          <w:ilvl w:val="2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Принятие решения по итогам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>онкурса.</w:t>
      </w:r>
    </w:p>
    <w:p w14:paraId="70011963" w14:textId="77777777" w:rsidR="00363673" w:rsidRDefault="007B7257">
      <w:pPr>
        <w:numPr>
          <w:ilvl w:val="0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 итогам конкурса </w:t>
      </w:r>
      <w:r>
        <w:rPr>
          <w:sz w:val="24"/>
          <w:szCs w:val="24"/>
          <w:lang w:val="ru-RU"/>
        </w:rPr>
        <w:t xml:space="preserve">Банк планирует </w:t>
      </w:r>
      <w:r>
        <w:rPr>
          <w:sz w:val="24"/>
          <w:szCs w:val="24"/>
        </w:rPr>
        <w:t>заключ</w:t>
      </w:r>
      <w:r>
        <w:rPr>
          <w:sz w:val="24"/>
          <w:szCs w:val="24"/>
          <w:lang w:val="ru-RU"/>
        </w:rPr>
        <w:t xml:space="preserve">ить </w:t>
      </w:r>
      <w:r>
        <w:rPr>
          <w:sz w:val="24"/>
          <w:szCs w:val="24"/>
        </w:rPr>
        <w:t>3 договора:</w:t>
      </w:r>
    </w:p>
    <w:p w14:paraId="70011964" w14:textId="77777777" w:rsidR="00363673" w:rsidRDefault="007B7257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Покупка лицензий на ПО;</w:t>
      </w:r>
    </w:p>
    <w:p w14:paraId="70011965" w14:textId="77777777" w:rsidR="00363673" w:rsidRDefault="007B7257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Внедрение</w:t>
      </w:r>
      <w:r>
        <w:rPr>
          <w:sz w:val="24"/>
          <w:szCs w:val="24"/>
          <w:lang w:val="ru-RU"/>
        </w:rPr>
        <w:t xml:space="preserve"> системы</w:t>
      </w:r>
      <w:r>
        <w:rPr>
          <w:sz w:val="24"/>
          <w:szCs w:val="24"/>
        </w:rPr>
        <w:t>;</w:t>
      </w:r>
    </w:p>
    <w:p w14:paraId="70011966" w14:textId="77777777" w:rsidR="00363673" w:rsidRDefault="007B7257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Техническая поддержка внедренного решения.</w:t>
      </w:r>
    </w:p>
    <w:p w14:paraId="70011967" w14:textId="77777777" w:rsidR="00363673" w:rsidRDefault="007B7257">
      <w:pPr>
        <w:pStyle w:val="1"/>
        <w:numPr>
          <w:ilvl w:val="0"/>
          <w:numId w:val="5"/>
        </w:numPr>
        <w:rPr>
          <w:color w:val="000000"/>
          <w:sz w:val="24"/>
          <w:szCs w:val="24"/>
        </w:rPr>
      </w:pPr>
      <w:bookmarkStart w:id="2" w:name="_heading=h.mc405isa578e"/>
      <w:bookmarkEnd w:id="2"/>
      <w:r>
        <w:rPr>
          <w:color w:val="000000"/>
          <w:sz w:val="24"/>
          <w:szCs w:val="24"/>
        </w:rPr>
        <w:t>Функциональные и нефункциональные требования к системе «Аудиомониторинг»</w:t>
      </w:r>
    </w:p>
    <w:p w14:paraId="70011968" w14:textId="77777777" w:rsidR="00363673" w:rsidRDefault="007B7257">
      <w:pPr>
        <w:pStyle w:val="2"/>
        <w:numPr>
          <w:ilvl w:val="1"/>
          <w:numId w:val="5"/>
        </w:numPr>
      </w:pPr>
      <w:bookmarkStart w:id="3" w:name="_heading=h.sbnh4ubf8p2l"/>
      <w:bookmarkEnd w:id="3"/>
      <w:r>
        <w:t>Общая архитектура решения</w:t>
      </w:r>
    </w:p>
    <w:p w14:paraId="70011969" w14:textId="77777777" w:rsidR="00363673" w:rsidRDefault="007B7257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На Рис.1.1 отражена общая архитектурная схема по конкурсу «Внедрение системы «Аудиомониторинг».</w:t>
      </w:r>
    </w:p>
    <w:p w14:paraId="7001196A" w14:textId="77777777" w:rsidR="00363673" w:rsidRDefault="007B7257">
      <w:pPr>
        <w:ind w:firstLine="708"/>
        <w:rPr>
          <w:sz w:val="24"/>
          <w:szCs w:val="24"/>
        </w:rPr>
      </w:pPr>
      <w:r>
        <w:rPr>
          <w:sz w:val="24"/>
          <w:szCs w:val="24"/>
        </w:rPr>
        <w:t>Архитектура решения для текущего проекта может быть скорректирована и/или детализирована совместно с победителем Конкурса при условии соответствия общему ИТ-ландшафту и принципам построения ИТ-архитектуры АКБ «Hamkorbank».</w:t>
      </w:r>
    </w:p>
    <w:p w14:paraId="7001196B" w14:textId="77777777" w:rsidR="00363673" w:rsidRDefault="007B7257">
      <w:pPr>
        <w:ind w:firstLine="708"/>
      </w:pPr>
      <w:r>
        <w:br w:type="page" w:clear="all"/>
      </w:r>
    </w:p>
    <w:p w14:paraId="7001196C" w14:textId="77777777" w:rsidR="00363673" w:rsidRDefault="007B7257">
      <w:pPr>
        <w:spacing w:before="480" w:after="24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Рис. 1.1. Архитектура развертывания Системы «Аудиомониторинг» в рамках конкурса «Внедрение системы «Аудиомониторинг»»</w:t>
      </w:r>
    </w:p>
    <w:p w14:paraId="7001196D" w14:textId="77777777" w:rsidR="00363673" w:rsidRDefault="007B7257">
      <w:pPr>
        <w:spacing w:before="480" w:after="240"/>
        <w:ind w:firstLine="0"/>
        <w:jc w:val="right"/>
        <w:rPr>
          <w:sz w:val="24"/>
          <w:szCs w:val="24"/>
        </w:rPr>
      </w:pPr>
      <w:r>
        <w:t xml:space="preserve"> </w:t>
      </w:r>
      <w:r>
        <w:rPr>
          <w:noProof/>
          <w:lang w:val="ru-RU"/>
        </w:rPr>
        <mc:AlternateContent>
          <mc:Choice Requires="wpg">
            <w:drawing>
              <wp:inline distT="0" distB="0" distL="0" distR="0" wp14:anchorId="70011A4D" wp14:editId="70011A4E">
                <wp:extent cx="5750069" cy="2219325"/>
                <wp:effectExtent l="0" t="0" r="317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79253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61067" cy="22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2.76pt;height:174.7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</w:p>
    <w:p w14:paraId="7001196E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 xml:space="preserve">С целью сравнения конкурсных предложений с точки зрения степени соответствия технологическому стеку и принципам построения ИТ-архитектуры АКБ «Hamkorbank», участникам конкурса необходимо, представить детальную информацию о предлагаемой в конкурсе платформе путем заполнения архитектурного чек-листа (Приложение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</w:rPr>
        <w:t>1 к настоящему Техническому заданию, лист 3).</w:t>
      </w:r>
    </w:p>
    <w:p w14:paraId="7001196F" w14:textId="77777777" w:rsidR="00363673" w:rsidRDefault="007B7257">
      <w:pPr>
        <w:pStyle w:val="2"/>
        <w:numPr>
          <w:ilvl w:val="1"/>
          <w:numId w:val="5"/>
        </w:numPr>
        <w:rPr>
          <w:color w:val="000000"/>
        </w:rPr>
      </w:pPr>
      <w:bookmarkStart w:id="4" w:name="_heading=h.pjc58azdcsz5"/>
      <w:bookmarkEnd w:id="4"/>
      <w:r>
        <w:rPr>
          <w:color w:val="000000"/>
        </w:rPr>
        <w:t xml:space="preserve"> Функциональные требования</w:t>
      </w:r>
    </w:p>
    <w:p w14:paraId="70011970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 xml:space="preserve">С целью сравнения конкурсных предложений с точки зрения функциональных возможностей участникам конкурса необходимо предоставить детальную информацию путем заполнения функционального чек-листа (Приложение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</w:rPr>
        <w:t>1 к настоящему Техническому заданию, лист 1).</w:t>
      </w:r>
    </w:p>
    <w:p w14:paraId="70011971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>Предполагается, что невозможность реализовать обязательные требования приводит к дисквалификации конкурсной заявки. А удовлетворение (или возможность реализации) дополнительных требований повышают оценку качества предлагаемой участником системы «Аудиомониторинг».</w:t>
      </w:r>
    </w:p>
    <w:p w14:paraId="70011972" w14:textId="77777777" w:rsidR="00363673" w:rsidRDefault="007B7257">
      <w:pPr>
        <w:pStyle w:val="2"/>
        <w:numPr>
          <w:ilvl w:val="1"/>
          <w:numId w:val="5"/>
        </w:numPr>
        <w:rPr>
          <w:color w:val="000000"/>
        </w:rPr>
      </w:pPr>
      <w:bookmarkStart w:id="5" w:name="_heading=h.r6kqvh30hfkl"/>
      <w:bookmarkEnd w:id="5"/>
      <w:r>
        <w:rPr>
          <w:color w:val="000000"/>
        </w:rPr>
        <w:t xml:space="preserve"> Информационная безопасность</w:t>
      </w:r>
    </w:p>
    <w:p w14:paraId="70011973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>Используемая модель для анализа транскрипций диалогов должна запускаться локально (</w:t>
      </w:r>
      <w:r>
        <w:rPr>
          <w:sz w:val="24"/>
          <w:szCs w:val="24"/>
          <w:lang w:val="en-US"/>
        </w:rPr>
        <w:t>On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premise) и не иметь никаких внешних вызовов.</w:t>
      </w:r>
    </w:p>
    <w:p w14:paraId="70011974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>Участник конкурса обязан подтвердить соответствие обязательным требованиям по информационной безопасности путем заполнения чек-листа по Информационной безопасности (Приложение 1 к настоящему Техническому заданию, лист 2).</w:t>
      </w:r>
    </w:p>
    <w:p w14:paraId="70011975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>Нарушение требований Информационной безопасности может быть основанием для дисквалификации конкурсной заявки и/или приостановки эксплуатации платформы.</w:t>
      </w:r>
    </w:p>
    <w:p w14:paraId="70011976" w14:textId="77777777" w:rsidR="00363673" w:rsidRDefault="007B7257">
      <w:pPr>
        <w:pStyle w:val="2"/>
        <w:numPr>
          <w:ilvl w:val="1"/>
          <w:numId w:val="5"/>
        </w:numPr>
        <w:rPr>
          <w:color w:val="000000"/>
        </w:rPr>
      </w:pPr>
      <w:bookmarkStart w:id="6" w:name="_heading=h.w8wen1i1ic1i"/>
      <w:bookmarkEnd w:id="6"/>
      <w:r>
        <w:rPr>
          <w:color w:val="000000"/>
        </w:rPr>
        <w:t xml:space="preserve"> Производительность (sizing)</w:t>
      </w:r>
    </w:p>
    <w:p w14:paraId="70011977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 xml:space="preserve">Участник конкурса обязан подтвердить готовность выдержать заявленные требования к нагрузке на внедряемое </w:t>
      </w:r>
      <w:r>
        <w:rPr>
          <w:sz w:val="24"/>
          <w:szCs w:val="24"/>
          <w:lang w:val="ru-RU"/>
        </w:rPr>
        <w:t>программное обеспечение</w:t>
      </w:r>
      <w:r>
        <w:rPr>
          <w:sz w:val="24"/>
          <w:szCs w:val="24"/>
        </w:rPr>
        <w:t xml:space="preserve"> путем заполнения чек-</w:t>
      </w:r>
      <w:r>
        <w:rPr>
          <w:sz w:val="24"/>
          <w:szCs w:val="24"/>
        </w:rPr>
        <w:lastRenderedPageBreak/>
        <w:t>листа по Производительности (Приложение 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</w:rPr>
        <w:t>1 к настоящему техническому заданию, лист 4).</w:t>
      </w:r>
    </w:p>
    <w:p w14:paraId="70011978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>Дополнительно, исходя из заявленных параметров производительности и нагрузки, участник конкурса обязан предоставить полный список требований к инфраструктуре (sizing), необходимой для внедрения Системы «Аудиомониторинг» (On-premise). Форма для заполнения представлена в Приложении 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</w:rPr>
        <w:t>1 к настоящему Техническому заданию, лист 5.</w:t>
      </w:r>
    </w:p>
    <w:p w14:paraId="70011979" w14:textId="77777777" w:rsidR="00363673" w:rsidRDefault="007B7257">
      <w:pPr>
        <w:pStyle w:val="2"/>
        <w:numPr>
          <w:ilvl w:val="1"/>
          <w:numId w:val="5"/>
        </w:numPr>
        <w:rPr>
          <w:color w:val="000000"/>
        </w:rPr>
      </w:pPr>
      <w:bookmarkStart w:id="7" w:name="_heading=h.4t9eesha5jn9"/>
      <w:bookmarkEnd w:id="7"/>
      <w:r>
        <w:rPr>
          <w:color w:val="000000"/>
        </w:rPr>
        <w:t xml:space="preserve"> Технические требования и производственный процесс</w:t>
      </w:r>
    </w:p>
    <w:p w14:paraId="7001197A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 xml:space="preserve">Предлагаемая Система «Аудиомониторинг» должна быть совместима с существующим технологическим стеком банка, с технологиями, используемыми Банком в дистанционных каналах обслуживания </w:t>
      </w:r>
      <w:r>
        <w:rPr>
          <w:sz w:val="24"/>
          <w:szCs w:val="24"/>
          <w:lang w:val="ru-RU"/>
        </w:rPr>
        <w:t xml:space="preserve">как </w:t>
      </w:r>
      <w:r>
        <w:rPr>
          <w:sz w:val="24"/>
          <w:szCs w:val="24"/>
        </w:rPr>
        <w:t>IP телефония Infinity</w:t>
      </w:r>
      <w:r>
        <w:rPr>
          <w:sz w:val="24"/>
          <w:szCs w:val="24"/>
          <w:lang w:val="ru-RU"/>
        </w:rPr>
        <w:t>, так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с </w:t>
      </w:r>
      <w:r>
        <w:rPr>
          <w:sz w:val="24"/>
          <w:szCs w:val="24"/>
        </w:rPr>
        <w:t xml:space="preserve">IP </w:t>
      </w:r>
      <w:r>
        <w:rPr>
          <w:sz w:val="24"/>
          <w:szCs w:val="24"/>
          <w:lang w:val="ru-RU"/>
        </w:rPr>
        <w:t xml:space="preserve">телефонией </w:t>
      </w:r>
      <w:r>
        <w:rPr>
          <w:sz w:val="24"/>
          <w:szCs w:val="24"/>
        </w:rPr>
        <w:t>Genesys.</w:t>
      </w:r>
    </w:p>
    <w:p w14:paraId="7001197B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>Предполагается развертывание решения на собственной серверной инфраструктуре заказчика (On-premise) или на предоставленной серверной инфраструктуре победителем конкур</w:t>
      </w:r>
      <w:r>
        <w:rPr>
          <w:sz w:val="24"/>
          <w:szCs w:val="24"/>
          <w:lang w:val="ru-RU"/>
        </w:rPr>
        <w:t xml:space="preserve">а </w:t>
      </w:r>
      <w:r>
        <w:rPr>
          <w:sz w:val="24"/>
          <w:szCs w:val="24"/>
        </w:rPr>
        <w:t>в ЦОД АКБ «Hamkorbank» (On-premise).</w:t>
      </w:r>
    </w:p>
    <w:p w14:paraId="7001197C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  <w:highlight w:val="white"/>
        </w:rPr>
        <w:t>Функционирование продуктивной среды должно быть обеспечено механизмами мониторинга и логирования всех модулей системы, а также наличием механизмов автоматического/ручного переключения на резервный контур (в случае его наличия).</w:t>
      </w:r>
    </w:p>
    <w:p w14:paraId="7001197D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 xml:space="preserve">С целью сравнения конкурсных предложений с точки зрения указанных выше технический требований и требований к производственному процессу участникам конкурса необходимо предоставить детальную информацию путем заполнения Технического чек-листа (Приложение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</w:rPr>
        <w:t>1 к настоящему Техническому заданию, лист</w:t>
      </w:r>
      <w:r>
        <w:rPr>
          <w:sz w:val="24"/>
          <w:szCs w:val="24"/>
          <w:lang w:val="ru-RU"/>
        </w:rPr>
        <w:t> </w:t>
      </w:r>
      <w:r>
        <w:rPr>
          <w:sz w:val="24"/>
          <w:szCs w:val="24"/>
        </w:rPr>
        <w:t>6).</w:t>
      </w:r>
    </w:p>
    <w:p w14:paraId="7001197E" w14:textId="77777777" w:rsidR="00363673" w:rsidRDefault="007B7257">
      <w:pPr>
        <w:pStyle w:val="2"/>
        <w:numPr>
          <w:ilvl w:val="1"/>
          <w:numId w:val="12"/>
        </w:numPr>
        <w:rPr>
          <w:lang w:val="ru-RU"/>
        </w:rPr>
      </w:pPr>
      <w:r>
        <w:rPr>
          <w:lang w:val="ru-RU"/>
        </w:rPr>
        <w:t xml:space="preserve"> Требования к распознаванию в %</w:t>
      </w:r>
    </w:p>
    <w:p w14:paraId="7001197F" w14:textId="77777777" w:rsidR="00363673" w:rsidRDefault="007B7257">
      <w:pPr>
        <w:rPr>
          <w:b/>
          <w:lang w:val="ru-RU"/>
        </w:rPr>
      </w:pPr>
      <w:r>
        <w:rPr>
          <w:b/>
          <w:lang w:val="ru-RU"/>
        </w:rPr>
        <w:t>3.6.1 Общие требования</w:t>
      </w:r>
    </w:p>
    <w:p w14:paraId="70011980" w14:textId="77777777" w:rsidR="00363673" w:rsidRDefault="007B7257">
      <w:pPr>
        <w:pStyle w:val="aff5"/>
        <w:numPr>
          <w:ilvl w:val="2"/>
          <w:numId w:val="13"/>
        </w:numPr>
        <w:ind w:left="709"/>
      </w:pPr>
      <w:r>
        <w:t>Система должна обеспечивать высокий уровень точности распознавания и минимальное количество ошибок при обработке входных данных, соответствующих установленным требованиям к качеству (разрешение, уровень шума, формат).</w:t>
      </w:r>
    </w:p>
    <w:p w14:paraId="70011981" w14:textId="77777777" w:rsidR="00363673" w:rsidRDefault="007B7257">
      <w:pPr>
        <w:pStyle w:val="aff5"/>
        <w:numPr>
          <w:ilvl w:val="2"/>
          <w:numId w:val="13"/>
        </w:numPr>
        <w:ind w:left="709"/>
      </w:pPr>
      <w:r>
        <w:t>Качество распознавания должно измеряться на тестовой выборке, согласованной с Заказчиком и отражающей реальные условия эксплуатации системы.</w:t>
      </w:r>
    </w:p>
    <w:p w14:paraId="70011982" w14:textId="77777777" w:rsidR="00363673" w:rsidRDefault="007B7257">
      <w:pPr>
        <w:pStyle w:val="aff5"/>
        <w:numPr>
          <w:ilvl w:val="2"/>
          <w:numId w:val="13"/>
        </w:numPr>
        <w:ind w:left="709"/>
      </w:pPr>
      <w:r>
        <w:t>Результаты оценки качества фиксируются в процентах и подтверждаются протоколом испытаний.</w:t>
      </w:r>
    </w:p>
    <w:p w14:paraId="70011983" w14:textId="77777777" w:rsidR="00363673" w:rsidRDefault="007B7257">
      <w:pPr>
        <w:pStyle w:val="aff1"/>
        <w:ind w:hanging="36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3.6.2 Требования к качеству распознавания речи (</w:t>
      </w:r>
      <w:r>
        <w:rPr>
          <w:b/>
          <w:sz w:val="24"/>
          <w:szCs w:val="24"/>
          <w:lang w:val="en-US"/>
        </w:rPr>
        <w:t>WER</w:t>
      </w:r>
      <w:r>
        <w:rPr>
          <w:b/>
          <w:sz w:val="24"/>
          <w:szCs w:val="24"/>
          <w:lang w:val="ru-RU"/>
        </w:rPr>
        <w:t>)</w:t>
      </w:r>
    </w:p>
    <w:p w14:paraId="70011984" w14:textId="77777777" w:rsidR="00363673" w:rsidRDefault="007B7257">
      <w:pPr>
        <w:pStyle w:val="aff5"/>
        <w:numPr>
          <w:ilvl w:val="2"/>
          <w:numId w:val="13"/>
        </w:numPr>
        <w:ind w:left="709"/>
      </w:pPr>
      <w:r>
        <w:t>Доля неправильно распознанных слов не должна превышать:</w:t>
      </w:r>
    </w:p>
    <w:p w14:paraId="70011985" w14:textId="77777777" w:rsidR="00363673" w:rsidRDefault="007B7257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30% узбекский язык;</w:t>
      </w:r>
    </w:p>
    <w:p w14:paraId="70011986" w14:textId="77777777" w:rsidR="00363673" w:rsidRDefault="007B7257">
      <w:pPr>
        <w:numPr>
          <w:ilvl w:val="1"/>
          <w:numId w:val="1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20</w:t>
      </w:r>
      <w:r>
        <w:rPr>
          <w:sz w:val="24"/>
          <w:szCs w:val="24"/>
        </w:rPr>
        <w:t xml:space="preserve">% </w:t>
      </w:r>
      <w:r>
        <w:rPr>
          <w:sz w:val="24"/>
          <w:szCs w:val="24"/>
          <w:lang w:val="ru-RU"/>
        </w:rPr>
        <w:t>русский язык;</w:t>
      </w:r>
    </w:p>
    <w:p w14:paraId="70011987" w14:textId="77777777" w:rsidR="00363673" w:rsidRDefault="007B7257">
      <w:pPr>
        <w:pStyle w:val="aff1"/>
        <w:numPr>
          <w:ilvl w:val="1"/>
          <w:numId w:val="29"/>
        </w:numPr>
        <w:spacing w:line="240" w:lineRule="auto"/>
        <w:jc w:val="left"/>
      </w:pPr>
      <w:r>
        <w:rPr>
          <w:sz w:val="24"/>
          <w:szCs w:val="24"/>
          <w:lang w:val="ru-RU"/>
        </w:rPr>
        <w:t>30% смешанные языки, узбекский и русский.</w:t>
      </w:r>
    </w:p>
    <w:p w14:paraId="70011988" w14:textId="77777777" w:rsidR="00363673" w:rsidRDefault="007B7257">
      <w:pPr>
        <w:pStyle w:val="aff5"/>
        <w:numPr>
          <w:ilvl w:val="2"/>
          <w:numId w:val="13"/>
        </w:numPr>
        <w:ind w:left="709"/>
      </w:pPr>
      <w:r>
        <w:t xml:space="preserve">Точность распознавания ключевых терминов и имен собственных должна составлять не менее </w:t>
      </w:r>
      <w:r>
        <w:rPr>
          <w:b/>
          <w:bCs/>
        </w:rPr>
        <w:t>90%</w:t>
      </w:r>
      <w:r>
        <w:t>.</w:t>
      </w:r>
    </w:p>
    <w:p w14:paraId="70011989" w14:textId="77777777" w:rsidR="00363673" w:rsidRDefault="007B7257">
      <w:pPr>
        <w:pStyle w:val="aff1"/>
        <w:ind w:left="360" w:firstLine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3.6.3 Требования к стабильности качества</w:t>
      </w:r>
    </w:p>
    <w:p w14:paraId="7001198A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 xml:space="preserve">Качество распознавания не должно снижаться более чем на </w:t>
      </w:r>
      <w:r>
        <w:rPr>
          <w:b/>
          <w:bCs/>
        </w:rPr>
        <w:t>5%</w:t>
      </w:r>
      <w:r>
        <w:t xml:space="preserve"> при изменении внешних условий в пределах допустимых параметров эксплуатации.</w:t>
      </w:r>
    </w:p>
    <w:p w14:paraId="7001198B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При обновлении модели качество распознавания не должно быть ниже ранее достигнутого уровня. Должны быть реализованы механизмы дополнительного обучения языковых моделей для достижения ранее достигнутых результатов.</w:t>
      </w:r>
    </w:p>
    <w:p w14:paraId="7001198C" w14:textId="77777777" w:rsidR="00363673" w:rsidRDefault="007B7257">
      <w:pPr>
        <w:pStyle w:val="2"/>
        <w:numPr>
          <w:ilvl w:val="1"/>
          <w:numId w:val="12"/>
        </w:numPr>
        <w:rPr>
          <w:lang w:val="ru-RU"/>
        </w:rPr>
      </w:pPr>
      <w:r>
        <w:rPr>
          <w:lang w:val="ru-RU"/>
        </w:rPr>
        <w:t xml:space="preserve"> Готовность улучшать качество распознавания</w:t>
      </w:r>
    </w:p>
    <w:p w14:paraId="7001198D" w14:textId="77777777" w:rsidR="00363673" w:rsidRDefault="007B7257">
      <w:pPr>
        <w:pStyle w:val="2"/>
        <w:rPr>
          <w:lang w:val="ru-RU"/>
        </w:rPr>
      </w:pPr>
      <w:r>
        <w:rPr>
          <w:lang w:val="ru-RU"/>
        </w:rPr>
        <w:t>3.7.1 Общие положения</w:t>
      </w:r>
    </w:p>
    <w:p w14:paraId="7001198E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Исполнитель должен обеспечить возможность поэтапного повышения качества распознавания в течение всего срока эксплуатации системы.</w:t>
      </w:r>
    </w:p>
    <w:p w14:paraId="7001198F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Архитектура решения должна предусматривать возможность модернизации алгоритмов, обновления моделей и дообучения без полной переработки системы.</w:t>
      </w:r>
    </w:p>
    <w:p w14:paraId="70011990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Улучшение качества должно осуществляться без нарушения работоспособности системы и с минимальным влиянием на производственный контур.</w:t>
      </w:r>
    </w:p>
    <w:p w14:paraId="70011991" w14:textId="77777777" w:rsidR="00363673" w:rsidRDefault="007B7257">
      <w:pPr>
        <w:pStyle w:val="2"/>
        <w:rPr>
          <w:lang w:val="ru-RU"/>
        </w:rPr>
      </w:pPr>
      <w:r>
        <w:rPr>
          <w:lang w:val="ru-RU"/>
        </w:rPr>
        <w:t>3.7.2 Возможность дообучения и адаптации</w:t>
      </w:r>
    </w:p>
    <w:p w14:paraId="70011992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Система должна поддерживать дообучение моделей на данных Заказчика с целью повышения точности распознавания в специфических сценариях эксплуатации.</w:t>
      </w:r>
    </w:p>
    <w:p w14:paraId="70011993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Должна быть предусмотрена возможность регулярного обновления моделей, на основе накопленных данных и выявленных ошибок.</w:t>
      </w:r>
    </w:p>
    <w:p w14:paraId="70011994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Дообучение должно обеспечивать повышение качества без ухудшения ранее достигнутых показателей.</w:t>
      </w:r>
    </w:p>
    <w:p w14:paraId="70011995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При необходимости должна быть обеспечена возможность настройки под:</w:t>
      </w:r>
    </w:p>
    <w:p w14:paraId="70011996" w14:textId="77777777" w:rsidR="00363673" w:rsidRDefault="007B7257">
      <w:pPr>
        <w:pStyle w:val="aff5"/>
        <w:numPr>
          <w:ilvl w:val="1"/>
          <w:numId w:val="15"/>
        </w:numPr>
      </w:pPr>
      <w:r>
        <w:t>специализированную терминологию,</w:t>
      </w:r>
    </w:p>
    <w:p w14:paraId="70011997" w14:textId="77777777" w:rsidR="00363673" w:rsidRDefault="007B7257">
      <w:pPr>
        <w:pStyle w:val="aff5"/>
        <w:numPr>
          <w:ilvl w:val="1"/>
          <w:numId w:val="15"/>
        </w:numPr>
      </w:pPr>
      <w:r>
        <w:t>отраслевые форматы документов,</w:t>
      </w:r>
    </w:p>
    <w:p w14:paraId="70011998" w14:textId="77777777" w:rsidR="00363673" w:rsidRDefault="007B7257">
      <w:pPr>
        <w:pStyle w:val="aff5"/>
        <w:numPr>
          <w:ilvl w:val="1"/>
          <w:numId w:val="15"/>
        </w:numPr>
      </w:pPr>
      <w:r>
        <w:t>особенности речи,</w:t>
      </w:r>
    </w:p>
    <w:p w14:paraId="70011999" w14:textId="77777777" w:rsidR="00363673" w:rsidRDefault="007B7257">
      <w:pPr>
        <w:pStyle w:val="aff5"/>
        <w:numPr>
          <w:ilvl w:val="1"/>
          <w:numId w:val="15"/>
        </w:numPr>
      </w:pPr>
      <w:r>
        <w:t>региональные и языковые особенности (диалекты).</w:t>
      </w:r>
    </w:p>
    <w:p w14:paraId="7001199A" w14:textId="77777777" w:rsidR="00363673" w:rsidRDefault="007B7257">
      <w:pPr>
        <w:pStyle w:val="2"/>
        <w:rPr>
          <w:lang w:val="en-US"/>
        </w:rPr>
      </w:pPr>
      <w:r>
        <w:rPr>
          <w:lang w:val="ru-RU"/>
        </w:rPr>
        <w:t>3.7.3 Сбор и анализ ошибок</w:t>
      </w:r>
    </w:p>
    <w:p w14:paraId="7001199B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Должна быть предусмотрена возможность формирования выборки ошибок для последующего анализа и улучшения модели.</w:t>
      </w:r>
    </w:p>
    <w:p w14:paraId="7001199C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Должна быть реализована возможность ручной корректировки результатов распознавания с последующим использованием корректировок для повышения качества.</w:t>
      </w:r>
    </w:p>
    <w:p w14:paraId="7001199D" w14:textId="77777777" w:rsidR="00363673" w:rsidRDefault="007B7257">
      <w:pPr>
        <w:pStyle w:val="2"/>
        <w:rPr>
          <w:lang w:val="ru-RU"/>
        </w:rPr>
      </w:pPr>
      <w:r>
        <w:rPr>
          <w:lang w:val="ru-RU"/>
        </w:rPr>
        <w:t>3.7.4 Показатели улучшения</w:t>
      </w:r>
    </w:p>
    <w:p w14:paraId="7001199E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Исполнитель обязуется обеспечивать планомерное повышение качества распознавания при накоплении достаточного объёма данных.</w:t>
      </w:r>
    </w:p>
    <w:p w14:paraId="7001199F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По результатам обновления моделей качество распознавания должно:</w:t>
      </w:r>
    </w:p>
    <w:p w14:paraId="700119A0" w14:textId="77777777" w:rsidR="00363673" w:rsidRDefault="007B7257">
      <w:pPr>
        <w:pStyle w:val="aff5"/>
        <w:numPr>
          <w:ilvl w:val="1"/>
          <w:numId w:val="15"/>
        </w:numPr>
      </w:pPr>
      <w:r>
        <w:t>либо повышаться,</w:t>
      </w:r>
    </w:p>
    <w:p w14:paraId="700119A1" w14:textId="77777777" w:rsidR="00363673" w:rsidRDefault="007B7257">
      <w:pPr>
        <w:pStyle w:val="aff5"/>
        <w:numPr>
          <w:ilvl w:val="1"/>
          <w:numId w:val="15"/>
        </w:numPr>
      </w:pPr>
      <w:r>
        <w:lastRenderedPageBreak/>
        <w:t>либо сохраняться на достигнутом уровне,</w:t>
      </w:r>
    </w:p>
    <w:p w14:paraId="700119A2" w14:textId="77777777" w:rsidR="00363673" w:rsidRDefault="007B7257">
      <w:pPr>
        <w:pStyle w:val="aff5"/>
        <w:numPr>
          <w:ilvl w:val="1"/>
          <w:numId w:val="15"/>
        </w:numPr>
      </w:pPr>
      <w:r>
        <w:t>при этом недопустимо снижение установленных в ТЗ показателей.</w:t>
      </w:r>
    </w:p>
    <w:p w14:paraId="700119A3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Результаты улучшения качества подтверждаются тестированием на согласованной контрольной выборке.</w:t>
      </w:r>
    </w:p>
    <w:p w14:paraId="700119A4" w14:textId="77777777" w:rsidR="00363673" w:rsidRDefault="007B7257">
      <w:pPr>
        <w:pStyle w:val="2"/>
        <w:rPr>
          <w:lang w:val="ru-RU"/>
        </w:rPr>
      </w:pPr>
      <w:r>
        <w:rPr>
          <w:lang w:val="en-US"/>
        </w:rPr>
        <w:t>3.7.</w:t>
      </w:r>
      <w:r>
        <w:rPr>
          <w:lang w:val="ru-RU"/>
        </w:rPr>
        <w:t>5 Управление версиями и обновления</w:t>
      </w:r>
    </w:p>
    <w:p w14:paraId="700119A5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Каждое обновление модели должно сопровождаться версионированием и документированием изменений.</w:t>
      </w:r>
    </w:p>
    <w:p w14:paraId="700119A6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Перед вводом обновлённой версии в промышленную эксплуатацию должно проводиться тестирование на контрольной выборке.</w:t>
      </w:r>
    </w:p>
    <w:p w14:paraId="700119A7" w14:textId="77777777" w:rsidR="00363673" w:rsidRDefault="007B7257">
      <w:pPr>
        <w:pStyle w:val="aff5"/>
        <w:numPr>
          <w:ilvl w:val="0"/>
          <w:numId w:val="14"/>
        </w:numPr>
        <w:ind w:hanging="720"/>
      </w:pPr>
      <w:r>
        <w:t>Заказчику должны предоставляться отчёты о достигнутых показателях качества после каждого обновления.</w:t>
      </w:r>
      <w:r>
        <w:rPr>
          <w:noProof/>
        </w:rPr>
        <mc:AlternateContent>
          <mc:Choice Requires="wpg">
            <w:drawing>
              <wp:inline distT="0" distB="0" distL="0" distR="0" wp14:anchorId="70011A4F" wp14:editId="70011A50">
                <wp:extent cx="0" cy="1905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700119A8" w14:textId="77777777" w:rsidR="00363673" w:rsidRDefault="007B7257">
      <w:pPr>
        <w:pStyle w:val="2"/>
        <w:rPr>
          <w:lang w:val="en-US"/>
        </w:rPr>
      </w:pPr>
      <w:r>
        <w:rPr>
          <w:lang w:val="en-US"/>
        </w:rPr>
        <w:t xml:space="preserve">3.7.6 </w:t>
      </w:r>
      <w:r>
        <w:rPr>
          <w:lang w:val="ru-RU"/>
        </w:rPr>
        <w:t>Организационная готовность</w:t>
      </w:r>
    </w:p>
    <w:p w14:paraId="700119A9" w14:textId="77777777" w:rsidR="00363673" w:rsidRDefault="007B7257">
      <w:pPr>
        <w:pStyle w:val="aff5"/>
        <w:numPr>
          <w:ilvl w:val="0"/>
          <w:numId w:val="16"/>
        </w:numPr>
      </w:pPr>
      <w:r>
        <w:t>Исполнитель должен иметь регламент процесса улучшения качества (анализ ошибок, подготовка данных, обучение, тестирование, внедрение).</w:t>
      </w:r>
    </w:p>
    <w:p w14:paraId="700119AA" w14:textId="77777777" w:rsidR="00363673" w:rsidRDefault="007B7257">
      <w:pPr>
        <w:pStyle w:val="aff5"/>
        <w:numPr>
          <w:ilvl w:val="0"/>
          <w:numId w:val="16"/>
        </w:numPr>
      </w:pPr>
      <w:r>
        <w:t>Должны быть определены сроки и порядок выпуска обновлений.</w:t>
      </w:r>
    </w:p>
    <w:p w14:paraId="700119AB" w14:textId="77777777" w:rsidR="00363673" w:rsidRDefault="007B7257">
      <w:pPr>
        <w:pStyle w:val="aff5"/>
        <w:numPr>
          <w:ilvl w:val="0"/>
          <w:numId w:val="16"/>
        </w:numPr>
      </w:pPr>
      <w:r>
        <w:t>Должна быть обеспечена техническая поддержка по вопросам качества распознавания в течение всего срока действия договора.</w:t>
      </w:r>
    </w:p>
    <w:p w14:paraId="700119AC" w14:textId="77777777" w:rsidR="00363673" w:rsidRDefault="007B7257">
      <w:pPr>
        <w:pStyle w:val="1"/>
        <w:numPr>
          <w:ilvl w:val="0"/>
          <w:numId w:val="5"/>
        </w:numPr>
        <w:rPr>
          <w:color w:val="000000"/>
        </w:rPr>
      </w:pPr>
      <w:bookmarkStart w:id="8" w:name="_heading=h.hfv9fdh2uvs"/>
      <w:bookmarkEnd w:id="8"/>
      <w:r>
        <w:rPr>
          <w:color w:val="000000"/>
        </w:rPr>
        <w:t>Требования к организации проекта по внедрению системы «Аудиомониторинг»</w:t>
      </w:r>
    </w:p>
    <w:p w14:paraId="700119AD" w14:textId="77777777" w:rsidR="00363673" w:rsidRDefault="007B7257">
      <w:pPr>
        <w:pStyle w:val="2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Задачи и ожидаемый результат проекта внедрения</w:t>
      </w:r>
    </w:p>
    <w:p w14:paraId="700119AE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color w:val="000000"/>
          <w:sz w:val="24"/>
          <w:szCs w:val="24"/>
        </w:rPr>
      </w:pPr>
      <w:r>
        <w:rPr>
          <w:sz w:val="24"/>
          <w:szCs w:val="24"/>
        </w:rPr>
        <w:t>Целевая система покрывает не менее 95% входящих и исходящих звонков КЦ Розницы, Дистанционного обслуживания ММСБ, КЦ взыскания.</w:t>
      </w:r>
    </w:p>
    <w:p w14:paraId="700119AF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В целевой системе работает не менее 70 операторов КЦ Розницы, 35 операторов КЦ взыскания, 36 операторов дистанционного обслуживания ММСБ</w:t>
      </w:r>
      <w:r>
        <w:rPr>
          <w:sz w:val="24"/>
          <w:szCs w:val="24"/>
          <w:lang w:val="ru-RU"/>
        </w:rPr>
        <w:t>.</w:t>
      </w:r>
    </w:p>
    <w:p w14:paraId="700119B0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sz w:val="24"/>
          <w:szCs w:val="24"/>
        </w:rPr>
      </w:pPr>
      <w:r>
        <w:rPr>
          <w:sz w:val="24"/>
          <w:szCs w:val="24"/>
        </w:rPr>
        <w:t>Система автоматически забирает аудиозаписи для транскрибации и проведения анализа из системы IP телефонии Infinity</w:t>
      </w:r>
      <w:r>
        <w:rPr>
          <w:sz w:val="24"/>
          <w:szCs w:val="24"/>
          <w:lang w:val="ru-RU"/>
        </w:rPr>
        <w:t>, так 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с </w:t>
      </w:r>
      <w:r>
        <w:rPr>
          <w:sz w:val="24"/>
          <w:szCs w:val="24"/>
        </w:rPr>
        <w:t xml:space="preserve">IP </w:t>
      </w:r>
      <w:r>
        <w:rPr>
          <w:sz w:val="24"/>
          <w:szCs w:val="24"/>
          <w:lang w:val="ru-RU"/>
        </w:rPr>
        <w:t xml:space="preserve">телефонии </w:t>
      </w:r>
      <w:r>
        <w:rPr>
          <w:sz w:val="24"/>
          <w:szCs w:val="24"/>
        </w:rPr>
        <w:t>Genesys</w:t>
      </w:r>
      <w:r>
        <w:rPr>
          <w:sz w:val="24"/>
          <w:szCs w:val="24"/>
          <w:lang w:val="ru-RU"/>
        </w:rPr>
        <w:t>.</w:t>
      </w:r>
    </w:p>
    <w:p w14:paraId="700119B1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color w:val="000000"/>
          <w:sz w:val="24"/>
          <w:szCs w:val="24"/>
        </w:rPr>
      </w:pPr>
      <w:r>
        <w:rPr>
          <w:sz w:val="24"/>
          <w:szCs w:val="24"/>
        </w:rPr>
        <w:t>Записи автоматически передаются на сервер системы Аудиомониторинга (в контуре Банка) и обрабатываются ИИ-модулем:</w:t>
      </w:r>
    </w:p>
    <w:p w14:paraId="700119B2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Распознавание речи (русский, узбекский, смешанный язык);</w:t>
      </w:r>
    </w:p>
    <w:p w14:paraId="700119B3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Транскрибация в текст;</w:t>
      </w:r>
    </w:p>
    <w:p w14:paraId="700119B4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Анализ структуры диалога (поэтапное соответствие скриптам и скор-картам);</w:t>
      </w:r>
    </w:p>
    <w:p w14:paraId="700119B5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основе анализа система формирует чек-лист отчет и рекомендации:</w:t>
      </w:r>
    </w:p>
    <w:p w14:paraId="700119B6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Оценка разговора по чек-листу;</w:t>
      </w:r>
    </w:p>
    <w:p w14:paraId="700119B7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Оценка качества разговора включая системные нарушения такие как тишина в начале</w:t>
      </w:r>
      <w:r>
        <w:rPr>
          <w:sz w:val="24"/>
          <w:szCs w:val="24"/>
          <w:lang w:val="ru-RU"/>
        </w:rPr>
        <w:t xml:space="preserve"> и</w:t>
      </w:r>
      <w:r>
        <w:rPr>
          <w:sz w:val="24"/>
          <w:szCs w:val="24"/>
        </w:rPr>
        <w:t xml:space="preserve"> во время разговора, Незаконченные диалоги, Нарушение в идентификации и т.д.;</w:t>
      </w:r>
    </w:p>
    <w:p w14:paraId="700119B8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Отклонения от стандартов;</w:t>
      </w:r>
    </w:p>
    <w:p w14:paraId="700119B9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Предложения по улучшению речи и работы с возражениями.</w:t>
      </w:r>
    </w:p>
    <w:p w14:paraId="700119BA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Отчеты автоматически выгружаются </w:t>
      </w:r>
      <w:r>
        <w:rPr>
          <w:color w:val="000000" w:themeColor="text1"/>
          <w:sz w:val="24"/>
          <w:szCs w:val="24"/>
          <w:lang w:val="ru-RU"/>
        </w:rPr>
        <w:t xml:space="preserve">для </w:t>
      </w:r>
      <w:r>
        <w:rPr>
          <w:color w:val="000000" w:themeColor="text1"/>
          <w:sz w:val="24"/>
          <w:szCs w:val="24"/>
        </w:rPr>
        <w:t>CRM и BI-систему (дашборды, чек-листы, рейтинги).</w:t>
      </w:r>
    </w:p>
    <w:p w14:paraId="700119BB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Система Аудиомониторинга</w:t>
      </w:r>
      <w:r>
        <w:rPr>
          <w:sz w:val="24"/>
          <w:szCs w:val="24"/>
        </w:rPr>
        <w:t xml:space="preserve"> должна уметь автоматически классифицировать обращения клиентов;</w:t>
      </w:r>
    </w:p>
    <w:p w14:paraId="700119BC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Система Аудиомониторинга должна уметь автоматически анализировать все транскрибированные материалы по преднастроенным чек-листам, а также по преднастроенным или новым промптам</w:t>
      </w:r>
      <w:r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en-US"/>
        </w:rPr>
        <w:t>prompt</w:t>
      </w:r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14:paraId="700119BD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color w:val="000000"/>
          <w:sz w:val="24"/>
          <w:szCs w:val="24"/>
        </w:rPr>
      </w:pPr>
      <w:r>
        <w:rPr>
          <w:sz w:val="24"/>
          <w:szCs w:val="24"/>
        </w:rPr>
        <w:t>Система Аудиомониторинга должна быть интегрирована со следующими компонентами и системами Банка:</w:t>
      </w:r>
    </w:p>
    <w:p w14:paraId="700119BE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Дистанционные каналы обслуживания клиентов (в зависимости от периода внедрения, фиксируется на старте работ):</w:t>
      </w:r>
    </w:p>
    <w:p w14:paraId="700119BF" w14:textId="77777777" w:rsidR="00363673" w:rsidRDefault="007B7257">
      <w:pPr>
        <w:numPr>
          <w:ilvl w:val="4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118"/>
        <w:rPr>
          <w:sz w:val="24"/>
          <w:szCs w:val="24"/>
        </w:rPr>
      </w:pPr>
      <w:r>
        <w:rPr>
          <w:sz w:val="24"/>
          <w:szCs w:val="24"/>
        </w:rPr>
        <w:t xml:space="preserve">Телефония Infinity </w:t>
      </w:r>
    </w:p>
    <w:p w14:paraId="700119C0" w14:textId="77777777" w:rsidR="00363673" w:rsidRDefault="007B7257">
      <w:pPr>
        <w:numPr>
          <w:ilvl w:val="4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118"/>
        <w:rPr>
          <w:sz w:val="24"/>
          <w:szCs w:val="24"/>
        </w:rPr>
      </w:pPr>
      <w:r>
        <w:rPr>
          <w:sz w:val="24"/>
          <w:szCs w:val="24"/>
        </w:rPr>
        <w:t>Телефония Genesys</w:t>
      </w:r>
    </w:p>
    <w:p w14:paraId="700119C1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2"/>
        <w:rPr>
          <w:sz w:val="24"/>
          <w:szCs w:val="24"/>
        </w:rPr>
      </w:pPr>
      <w:r>
        <w:rPr>
          <w:sz w:val="24"/>
          <w:szCs w:val="24"/>
        </w:rPr>
        <w:t>Системы, перечисленные в требованиях информационной безопасности:</w:t>
      </w:r>
    </w:p>
    <w:p w14:paraId="700119C2" w14:textId="77777777" w:rsidR="00363673" w:rsidRDefault="007B7257">
      <w:pPr>
        <w:numPr>
          <w:ilvl w:val="4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118"/>
        <w:rPr>
          <w:sz w:val="24"/>
          <w:szCs w:val="24"/>
        </w:rPr>
      </w:pPr>
      <w:r>
        <w:rPr>
          <w:sz w:val="24"/>
          <w:szCs w:val="24"/>
        </w:rPr>
        <w:t xml:space="preserve">Должен быть реализован механизм передачи ИБ-инцидентов в SIEM-систему банка (например, через </w:t>
      </w:r>
      <w:r>
        <w:rPr>
          <w:sz w:val="24"/>
          <w:szCs w:val="24"/>
          <w:lang w:val="en-US"/>
        </w:rPr>
        <w:t>syslog</w:t>
      </w:r>
      <w:r>
        <w:rPr>
          <w:sz w:val="24"/>
          <w:szCs w:val="24"/>
        </w:rPr>
        <w:t xml:space="preserve"> или API).</w:t>
      </w:r>
    </w:p>
    <w:p w14:paraId="700119C3" w14:textId="77777777" w:rsidR="00363673" w:rsidRDefault="007B7257">
      <w:pPr>
        <w:numPr>
          <w:ilvl w:val="4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118"/>
        <w:rPr>
          <w:sz w:val="24"/>
          <w:szCs w:val="24"/>
        </w:rPr>
      </w:pPr>
      <w:r>
        <w:rPr>
          <w:sz w:val="24"/>
          <w:szCs w:val="24"/>
        </w:rPr>
        <w:t>Все пользователи (администраторы, операторы, разработчики, внешние интеграторы) должны аутентифицироваться через централизованную систему SSO (LDAP).</w:t>
      </w:r>
    </w:p>
    <w:p w14:paraId="700119C4" w14:textId="77777777" w:rsidR="00363673" w:rsidRDefault="007B7257">
      <w:pPr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843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Система должна предоставлять API, позволяющие выгружать данные и интегрироваться с внешними системами. </w:t>
      </w:r>
    </w:p>
    <w:p w14:paraId="700119C5" w14:textId="77777777" w:rsidR="00363673" w:rsidRDefault="007B7257">
      <w:pPr>
        <w:pStyle w:val="2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Требования к автоматизации бизнес-процесса</w:t>
      </w:r>
    </w:p>
    <w:p w14:paraId="700119C6" w14:textId="77777777" w:rsidR="00363673" w:rsidRDefault="007B7257">
      <w:pPr>
        <w:rPr>
          <w:color w:val="000000"/>
        </w:rPr>
      </w:pPr>
      <w:r>
        <w:t>Требования к автоматизации указаны в Приложении №1 к Техническому заданию. Детальный функционал должен быть описан в Проектном решении по итогам проведенного технического</w:t>
      </w:r>
      <w:r>
        <w:rPr>
          <w:lang w:val="ru-RU"/>
        </w:rPr>
        <w:t xml:space="preserve"> </w:t>
      </w:r>
      <w:r>
        <w:t>и бизнес</w:t>
      </w:r>
      <w:r>
        <w:rPr>
          <w:lang w:val="ru-RU"/>
        </w:rPr>
        <w:t>-анализа</w:t>
      </w:r>
      <w:r>
        <w:t xml:space="preserve"> направлений.</w:t>
      </w:r>
    </w:p>
    <w:p w14:paraId="700119C7" w14:textId="77777777" w:rsidR="00363673" w:rsidRDefault="007B7257">
      <w:pPr>
        <w:pStyle w:val="2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Требования к настройкам систем для внедрения функционала</w:t>
      </w:r>
    </w:p>
    <w:p w14:paraId="700119C8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Настройка справочников </w:t>
      </w:r>
      <w:r>
        <w:rPr>
          <w:sz w:val="24"/>
          <w:szCs w:val="24"/>
          <w:lang w:val="ru-RU"/>
        </w:rPr>
        <w:t>отделов</w:t>
      </w:r>
      <w:r>
        <w:rPr>
          <w:sz w:val="24"/>
          <w:szCs w:val="24"/>
        </w:rPr>
        <w:t>, сотрудников и ролей пользователей;</w:t>
      </w:r>
    </w:p>
    <w:p w14:paraId="700119C9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color w:val="000000"/>
          <w:sz w:val="24"/>
          <w:szCs w:val="24"/>
        </w:rPr>
      </w:pPr>
      <w:r>
        <w:rPr>
          <w:sz w:val="24"/>
          <w:szCs w:val="24"/>
        </w:rPr>
        <w:t>Импорт / экспорт актуальных скриптов и чек-листов в систему;</w:t>
      </w:r>
    </w:p>
    <w:p w14:paraId="700119CA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color w:val="000000"/>
          <w:sz w:val="24"/>
          <w:szCs w:val="24"/>
        </w:rPr>
      </w:pPr>
      <w:r>
        <w:rPr>
          <w:sz w:val="24"/>
          <w:szCs w:val="24"/>
        </w:rPr>
        <w:t>Настройка отчетных дашбордов за период в разрезе бизнес-направления, отдела, сотрудника и т.д.;</w:t>
      </w:r>
    </w:p>
    <w:p w14:paraId="700119CB" w14:textId="4AD8B34C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color w:val="000000"/>
          <w:sz w:val="24"/>
          <w:szCs w:val="24"/>
        </w:rPr>
      </w:pPr>
      <w:r>
        <w:rPr>
          <w:sz w:val="24"/>
          <w:szCs w:val="24"/>
        </w:rPr>
        <w:t>Настройка уведомлений и алертов при нарушениях (</w:t>
      </w:r>
      <w:r>
        <w:rPr>
          <w:sz w:val="24"/>
          <w:szCs w:val="24"/>
        </w:rPr>
        <w:t>запрещённые слова).</w:t>
      </w:r>
    </w:p>
    <w:p w14:paraId="700119CC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Система должна обеспечить настраиваемые механизмы оценивания. </w:t>
      </w:r>
    </w:p>
    <w:p w14:paraId="700119CD" w14:textId="77777777" w:rsidR="00363673" w:rsidRDefault="007B7257">
      <w:pPr>
        <w:numPr>
          <w:ilvl w:val="2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8"/>
        <w:rPr>
          <w:sz w:val="24"/>
          <w:szCs w:val="24"/>
        </w:rPr>
      </w:pPr>
      <w:r>
        <w:rPr>
          <w:sz w:val="24"/>
          <w:szCs w:val="24"/>
        </w:rPr>
        <w:t>Все произведенные настройки должны быть зафиксированы в отдельном документе “Протокол настроек”.</w:t>
      </w:r>
    </w:p>
    <w:p w14:paraId="700119CE" w14:textId="77777777" w:rsidR="00363673" w:rsidRDefault="007B7257">
      <w:pPr>
        <w:pStyle w:val="2"/>
        <w:numPr>
          <w:ilvl w:val="1"/>
          <w:numId w:val="5"/>
        </w:numPr>
        <w:rPr>
          <w:color w:val="000000"/>
        </w:rPr>
      </w:pPr>
      <w:r>
        <w:rPr>
          <w:color w:val="000000"/>
        </w:rPr>
        <w:lastRenderedPageBreak/>
        <w:t>План и срок выполнения работ по интеграции и внедрению системы «Аудиомониторинг»</w:t>
      </w:r>
    </w:p>
    <w:p w14:paraId="700119CF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>Исходя из информации, представленной в п.п. 3.1 - 4.3, участник конкурса должен предоставить общий срок выполнения работ и детализированный план внедрения, включающий:</w:t>
      </w:r>
    </w:p>
    <w:p w14:paraId="700119D0" w14:textId="77777777" w:rsidR="00363673" w:rsidRDefault="007B725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134" w:hanging="425"/>
        <w:rPr>
          <w:sz w:val="24"/>
          <w:szCs w:val="24"/>
        </w:rPr>
      </w:pPr>
      <w:r>
        <w:rPr>
          <w:sz w:val="24"/>
          <w:szCs w:val="24"/>
        </w:rPr>
        <w:t>Этапы и контрольные точки (майлстоуны</w:t>
      </w:r>
      <w:r>
        <w:rPr>
          <w:sz w:val="24"/>
          <w:szCs w:val="24"/>
          <w:lang w:val="ru-RU"/>
        </w:rPr>
        <w:t xml:space="preserve"> -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color w:val="0A0A0A"/>
          <w:sz w:val="24"/>
          <w:szCs w:val="24"/>
          <w:shd w:val="clear" w:color="auto" w:fill="FFFFFF"/>
          <w:lang w:val="en-US"/>
        </w:rPr>
        <w:t>milestones</w:t>
      </w:r>
      <w:r>
        <w:rPr>
          <w:sz w:val="24"/>
          <w:szCs w:val="24"/>
        </w:rPr>
        <w:t>) c указанием длительности каждого этапа;</w:t>
      </w:r>
    </w:p>
    <w:p w14:paraId="700119D1" w14:textId="77777777" w:rsidR="00363673" w:rsidRDefault="007B725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134" w:hanging="425"/>
        <w:rPr>
          <w:sz w:val="24"/>
          <w:szCs w:val="24"/>
        </w:rPr>
      </w:pPr>
      <w:r>
        <w:rPr>
          <w:sz w:val="24"/>
          <w:szCs w:val="24"/>
        </w:rPr>
        <w:t>Ожидаемые результаты по каждому этапу;</w:t>
      </w:r>
    </w:p>
    <w:p w14:paraId="700119D2" w14:textId="77777777" w:rsidR="00363673" w:rsidRDefault="007B725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134" w:hanging="425"/>
        <w:rPr>
          <w:sz w:val="24"/>
          <w:szCs w:val="24"/>
        </w:rPr>
      </w:pPr>
      <w:r>
        <w:rPr>
          <w:sz w:val="24"/>
          <w:szCs w:val="24"/>
        </w:rPr>
        <w:t>Сроки выполнения задач;</w:t>
      </w:r>
    </w:p>
    <w:p w14:paraId="700119D3" w14:textId="77777777" w:rsidR="00363673" w:rsidRDefault="007B725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134" w:hanging="425"/>
        <w:rPr>
          <w:sz w:val="24"/>
          <w:szCs w:val="24"/>
        </w:rPr>
      </w:pPr>
      <w:r>
        <w:rPr>
          <w:sz w:val="24"/>
          <w:szCs w:val="24"/>
        </w:rPr>
        <w:t>Распределение ответственности между Исполнителем и Заказчиком на каждом из этапов;</w:t>
      </w:r>
    </w:p>
    <w:p w14:paraId="700119D4" w14:textId="77777777" w:rsidR="00363673" w:rsidRDefault="007B725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134" w:hanging="425"/>
        <w:rPr>
          <w:sz w:val="24"/>
          <w:szCs w:val="24"/>
        </w:rPr>
      </w:pPr>
      <w:r>
        <w:rPr>
          <w:sz w:val="24"/>
          <w:szCs w:val="24"/>
        </w:rPr>
        <w:t>Зависимость этапов/работ между собой.</w:t>
      </w:r>
    </w:p>
    <w:p w14:paraId="700119D5" w14:textId="77777777" w:rsidR="00363673" w:rsidRDefault="007B725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Кроме этого, в план работ должны быть включены следующие обязательные задачи:</w:t>
      </w:r>
    </w:p>
    <w:p w14:paraId="700119D6" w14:textId="77777777" w:rsidR="00363673" w:rsidRDefault="007B725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Обучение сотрудников АКБ “Hamkorbank”, включая детализацию программы обучения, согласование графика обучения и передачу материалов, используемых для обучения сотрудников: </w:t>
      </w:r>
    </w:p>
    <w:p w14:paraId="700119D7" w14:textId="77777777" w:rsidR="00363673" w:rsidRDefault="007B7257">
      <w:pPr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Количество операторов в разрезе, заявленных выше подразделений;</w:t>
      </w:r>
    </w:p>
    <w:p w14:paraId="700119D8" w14:textId="77777777" w:rsidR="00363673" w:rsidRDefault="007B7257">
      <w:pPr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  <w:lang w:val="en-US"/>
        </w:rPr>
        <w:t>DevOps</w:t>
      </w:r>
      <w:r>
        <w:rPr>
          <w:sz w:val="24"/>
          <w:szCs w:val="24"/>
        </w:rPr>
        <w:t xml:space="preserve"> специалисты;</w:t>
      </w:r>
    </w:p>
    <w:p w14:paraId="700119D9" w14:textId="77777777" w:rsidR="00363673" w:rsidRDefault="007B7257">
      <w:pPr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Сотрудники службы Информационной Безопасности;</w:t>
      </w:r>
    </w:p>
    <w:p w14:paraId="700119DA" w14:textId="77777777" w:rsidR="00363673" w:rsidRDefault="007B7257">
      <w:pPr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Специалисты технической поддержки (1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я и 2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я линии); </w:t>
      </w:r>
    </w:p>
    <w:p w14:paraId="700119DB" w14:textId="77777777" w:rsidR="00363673" w:rsidRDefault="007B725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Проведение проверки/сертификации на соответствие нормативным требованиям Республики Узбекистан и внутренним политикам банка, которая осуществляется до внедрения системы и является одним из критериев приемки результатов проведенной работы.</w:t>
      </w:r>
    </w:p>
    <w:p w14:paraId="700119DC" w14:textId="77777777" w:rsidR="00363673" w:rsidRDefault="007B725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Настройка и передача в Службу технической поддержки средств мониторинга работоспособности ПО.</w:t>
      </w:r>
    </w:p>
    <w:p w14:paraId="700119DD" w14:textId="77777777" w:rsidR="00363673" w:rsidRDefault="007B7257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Приемо-сдаточные испытания с указанием конкретного перечня сценариев и иных критериев успешности завершения разработки и перехода к промышленной эксплуатации.</w:t>
      </w:r>
    </w:p>
    <w:p w14:paraId="700119DE" w14:textId="77777777" w:rsidR="00363673" w:rsidRDefault="007B7257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Участник конкурса предоставляет запрошенную информацию путем заполнения Приложения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</w:rPr>
        <w:t>2 к настоящему Техническому заданию, раздел 1.</w:t>
      </w:r>
    </w:p>
    <w:p w14:paraId="700119DF" w14:textId="77777777" w:rsidR="00363673" w:rsidRDefault="007B7257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Примечание к процессу работ:</w:t>
      </w:r>
    </w:p>
    <w:p w14:paraId="700119E0" w14:textId="77777777" w:rsidR="00363673" w:rsidRDefault="007B725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134" w:hanging="425"/>
        <w:rPr>
          <w:sz w:val="24"/>
          <w:szCs w:val="24"/>
        </w:rPr>
      </w:pPr>
      <w:r>
        <w:rPr>
          <w:sz w:val="24"/>
          <w:szCs w:val="24"/>
        </w:rPr>
        <w:t>Все процессы внедрения, тестирования, эксплуатации и сопровождения должны согласовываться с подразделением информационной безопасности банка.</w:t>
      </w:r>
    </w:p>
    <w:p w14:paraId="700119E1" w14:textId="77777777" w:rsidR="00363673" w:rsidRDefault="007B725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1134" w:hanging="425"/>
        <w:rPr>
          <w:sz w:val="24"/>
          <w:szCs w:val="24"/>
        </w:rPr>
      </w:pPr>
      <w:r>
        <w:rPr>
          <w:sz w:val="24"/>
          <w:szCs w:val="24"/>
        </w:rPr>
        <w:t>Все точки интеграции (API, шины данных, очереди сообщений) должны быть предварительно протестированы в изолированной среде.</w:t>
      </w:r>
    </w:p>
    <w:p w14:paraId="700119E2" w14:textId="77777777" w:rsidR="00363673" w:rsidRDefault="007B72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rPr>
          <w:sz w:val="24"/>
          <w:szCs w:val="24"/>
        </w:rPr>
      </w:pPr>
      <w:r>
        <w:rPr>
          <w:sz w:val="24"/>
          <w:szCs w:val="24"/>
        </w:rPr>
        <w:t>Сотрудники ИБ Банка оставляют за собой право проводить аудит программного обеспечения, кода (если возможно), процессов безопасности, инфраструктуры хранения данных.</w:t>
      </w:r>
    </w:p>
    <w:p w14:paraId="700119E3" w14:textId="77777777" w:rsidR="00363673" w:rsidRDefault="007B7257">
      <w:pPr>
        <w:pStyle w:val="2"/>
        <w:numPr>
          <w:ilvl w:val="1"/>
          <w:numId w:val="5"/>
        </w:numPr>
        <w:rPr>
          <w:color w:val="000000"/>
        </w:rPr>
      </w:pPr>
      <w:bookmarkStart w:id="9" w:name="_heading=h.z0q25pcyg031"/>
      <w:bookmarkEnd w:id="9"/>
      <w:r>
        <w:rPr>
          <w:color w:val="000000"/>
        </w:rPr>
        <w:lastRenderedPageBreak/>
        <w:t xml:space="preserve"> Состав команды внедрения</w:t>
      </w:r>
    </w:p>
    <w:p w14:paraId="700119E4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>Участник должен обладать достаточными кадровыми ресурсами для выполнения работ, включая наличие руководителя проекта, технического архитектора, специалистов по настройке, программистов для доработки решений под требования по конкурсу «Внедрение системы «Аудиомониторинг»,</w:t>
      </w:r>
      <w:r>
        <w:rPr>
          <w:sz w:val="24"/>
          <w:szCs w:val="24"/>
          <w:lang w:val="ru-RU"/>
        </w:rPr>
        <w:t xml:space="preserve"> при необходимости</w:t>
      </w:r>
      <w:r>
        <w:rPr>
          <w:sz w:val="24"/>
          <w:szCs w:val="24"/>
        </w:rPr>
        <w:t xml:space="preserve"> специалист по ИБ / ПДн и т.д.</w:t>
      </w:r>
    </w:p>
    <w:p w14:paraId="700119E5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>Участник должен предоставить Справку по численности сотрудников (включая ГПХ) по состоянию на последнюю отчетную дату по форме в Приложении №6 к конкурсу «Внедрение системы «Аудиомониторинг».</w:t>
      </w:r>
    </w:p>
    <w:p w14:paraId="700119E6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>Участник конкурса должен предоставить о составе команды, включая резюме каждого специалиста, подтверждающие квалификацию и опыт реализации аналогичных проектов. А также продумать распределение ответственности и ролей участников между Исполнителем и Заказчиком, четко обозначив какие именно специалисты потребуются для реализации проекта со стороны Заказчика.</w:t>
      </w:r>
    </w:p>
    <w:p w14:paraId="700119E7" w14:textId="77777777" w:rsidR="00363673" w:rsidRDefault="007B7257">
      <w:pPr>
        <w:rPr>
          <w:sz w:val="24"/>
          <w:szCs w:val="24"/>
        </w:rPr>
      </w:pPr>
      <w:r>
        <w:rPr>
          <w:sz w:val="24"/>
          <w:szCs w:val="24"/>
        </w:rPr>
        <w:t xml:space="preserve">С целью сравнения конкурсных предложений с этой точки зрения участникам конкурса необходимо предоставить детальную информацию о составе команды путем заполнения Состава команды (Приложение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</w:rPr>
        <w:t>2 к настоящему Техническому заданию, раздел 2).</w:t>
      </w:r>
    </w:p>
    <w:p w14:paraId="700119E8" w14:textId="77777777" w:rsidR="00363673" w:rsidRDefault="007B7257">
      <w:pPr>
        <w:pStyle w:val="1"/>
        <w:numPr>
          <w:ilvl w:val="0"/>
          <w:numId w:val="5"/>
        </w:numPr>
        <w:rPr>
          <w:color w:val="000000"/>
        </w:rPr>
      </w:pPr>
      <w:bookmarkStart w:id="10" w:name="_heading=h.ye48t0q0851z"/>
      <w:bookmarkEnd w:id="10"/>
      <w:r>
        <w:rPr>
          <w:color w:val="000000"/>
        </w:rPr>
        <w:t>Техническая поддержка по завершению внедрения</w:t>
      </w:r>
    </w:p>
    <w:p w14:paraId="700119E9" w14:textId="77777777" w:rsidR="00363673" w:rsidRDefault="007B7257">
      <w:pPr>
        <w:rPr>
          <w:sz w:val="24"/>
          <w:szCs w:val="24"/>
          <w:lang w:val="ru-RU"/>
        </w:rPr>
      </w:pPr>
      <w:r>
        <w:rPr>
          <w:sz w:val="24"/>
          <w:szCs w:val="24"/>
        </w:rPr>
        <w:t>При заполнении конкурсного предложения (заявки) участник указывает срок гарантийного периода, в рамках которого выявляемые критические замечания и несоответствия проектному заданию и условиям подписанных контрактов устраняются бесплатно. А также подтвердить готовность осуществлять услуги технической поддержки в соответствии с требованиями (SLA), приведенными в Приложении №3 к настоящему Техническому заданию.</w:t>
      </w:r>
    </w:p>
    <w:p w14:paraId="700119EA" w14:textId="77777777" w:rsidR="00363673" w:rsidRDefault="007B7257">
      <w:pPr>
        <w:pStyle w:val="1"/>
        <w:numPr>
          <w:ilvl w:val="0"/>
          <w:numId w:val="5"/>
        </w:numPr>
        <w:rPr>
          <w:color w:val="000000"/>
        </w:rPr>
      </w:pPr>
      <w:bookmarkStart w:id="11" w:name="_heading=h.xj0x4w2ck6z8"/>
      <w:bookmarkEnd w:id="11"/>
      <w:r>
        <w:rPr>
          <w:color w:val="000000"/>
        </w:rPr>
        <w:t>Приложения</w:t>
      </w:r>
      <w:r>
        <w:t xml:space="preserve"> </w:t>
      </w:r>
      <w:r>
        <w:rPr>
          <w:color w:val="000000"/>
        </w:rPr>
        <w:t>к Техническому заданию</w:t>
      </w:r>
    </w:p>
    <w:p w14:paraId="700119EB" w14:textId="77777777" w:rsidR="00363673" w:rsidRDefault="007B725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Приложение №1 – Список функциональных и нефункциональных требований к системе «Аудиомониторинг» для АКБ «Hamkorbank». Заполняется участником конкурса.</w:t>
      </w:r>
    </w:p>
    <w:p w14:paraId="700119EC" w14:textId="77777777" w:rsidR="00363673" w:rsidRDefault="007B725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Приложение №2 - Требования к организации проекта внедрения системы «Аудиомониторинг» для АКБ «Hamkorbank». Заполняется участником конкурса.</w:t>
      </w:r>
    </w:p>
    <w:p w14:paraId="700119ED" w14:textId="77777777" w:rsidR="00363673" w:rsidRDefault="007B7257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Приложение №3 – Требования по предоставлению услуг технической поддержки (SLA) системы «Аудиомониторинг» АКБ «Hamkorbank».</w:t>
      </w:r>
    </w:p>
    <w:p w14:paraId="70011A4C" w14:textId="44A662BF" w:rsidR="00363673" w:rsidRPr="003432B0" w:rsidRDefault="007B7257" w:rsidP="003432B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sz w:val="24"/>
          <w:szCs w:val="24"/>
        </w:rPr>
      </w:pPr>
      <w:r>
        <w:rPr>
          <w:sz w:val="24"/>
          <w:szCs w:val="24"/>
        </w:rPr>
        <w:t>Приложение №4 - Методика расчета WER</w:t>
      </w:r>
      <w:r w:rsidR="003432B0">
        <w:rPr>
          <w:sz w:val="24"/>
          <w:szCs w:val="24"/>
          <w:lang w:val="ru-RU"/>
        </w:rPr>
        <w:t>.</w:t>
      </w:r>
    </w:p>
    <w:sectPr w:rsidR="00363673" w:rsidRPr="003432B0">
      <w:footerReference w:type="default" r:id="rId12"/>
      <w:pgSz w:w="11909" w:h="16834"/>
      <w:pgMar w:top="851" w:right="1440" w:bottom="709" w:left="144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9756" w14:textId="77777777" w:rsidR="007B7257" w:rsidRDefault="007B7257">
      <w:pPr>
        <w:spacing w:line="240" w:lineRule="auto"/>
      </w:pPr>
      <w:r>
        <w:separator/>
      </w:r>
    </w:p>
  </w:endnote>
  <w:endnote w:type="continuationSeparator" w:id="0">
    <w:p w14:paraId="4718DA97" w14:textId="77777777" w:rsidR="007B7257" w:rsidRDefault="007B72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820150"/>
      <w:docPartObj>
        <w:docPartGallery w:val="Page Numbers (Bottom of Page)"/>
        <w:docPartUnique/>
      </w:docPartObj>
    </w:sdtPr>
    <w:sdtEndPr/>
    <w:sdtContent>
      <w:p w14:paraId="70011A55" w14:textId="77777777" w:rsidR="00363673" w:rsidRDefault="007B7257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011A56" w14:textId="77777777" w:rsidR="00363673" w:rsidRDefault="0036367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5DA2" w14:textId="77777777" w:rsidR="007B7257" w:rsidRDefault="007B7257">
      <w:pPr>
        <w:spacing w:line="240" w:lineRule="auto"/>
      </w:pPr>
      <w:r>
        <w:separator/>
      </w:r>
    </w:p>
  </w:footnote>
  <w:footnote w:type="continuationSeparator" w:id="0">
    <w:p w14:paraId="3DCD2678" w14:textId="77777777" w:rsidR="007B7257" w:rsidRDefault="007B72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A54"/>
    <w:multiLevelType w:val="multilevel"/>
    <w:tmpl w:val="5184B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6B3740"/>
    <w:multiLevelType w:val="multilevel"/>
    <w:tmpl w:val="99F61818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6881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2A0B99"/>
    <w:multiLevelType w:val="multilevel"/>
    <w:tmpl w:val="219820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7C0085"/>
    <w:multiLevelType w:val="multilevel"/>
    <w:tmpl w:val="2BE8E50A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7F5056"/>
    <w:multiLevelType w:val="multilevel"/>
    <w:tmpl w:val="8B444F4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886F97"/>
    <w:multiLevelType w:val="multilevel"/>
    <w:tmpl w:val="97AE62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A97F2D"/>
    <w:multiLevelType w:val="multilevel"/>
    <w:tmpl w:val="57B2C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27B56"/>
    <w:multiLevelType w:val="multilevel"/>
    <w:tmpl w:val="CD248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C452BAE"/>
    <w:multiLevelType w:val="multilevel"/>
    <w:tmpl w:val="FEA21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0236AE"/>
    <w:multiLevelType w:val="multilevel"/>
    <w:tmpl w:val="BF885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260187"/>
    <w:multiLevelType w:val="multilevel"/>
    <w:tmpl w:val="A4E2E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761B29"/>
    <w:multiLevelType w:val="multilevel"/>
    <w:tmpl w:val="6376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40CD4"/>
    <w:multiLevelType w:val="multilevel"/>
    <w:tmpl w:val="B6349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EE1B9D"/>
    <w:multiLevelType w:val="multilevel"/>
    <w:tmpl w:val="19AC5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2C2998"/>
    <w:multiLevelType w:val="multilevel"/>
    <w:tmpl w:val="E954F7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4AF135F8"/>
    <w:multiLevelType w:val="multilevel"/>
    <w:tmpl w:val="6B32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00401DA"/>
    <w:multiLevelType w:val="multilevel"/>
    <w:tmpl w:val="55B2F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2F130FA"/>
    <w:multiLevelType w:val="multilevel"/>
    <w:tmpl w:val="42263D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B9366C"/>
    <w:multiLevelType w:val="multilevel"/>
    <w:tmpl w:val="F578B0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A83412"/>
    <w:multiLevelType w:val="multilevel"/>
    <w:tmpl w:val="C278F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215152B"/>
    <w:multiLevelType w:val="multilevel"/>
    <w:tmpl w:val="B1B296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3EE6904"/>
    <w:multiLevelType w:val="multilevel"/>
    <w:tmpl w:val="FBC6A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9B47B4D"/>
    <w:multiLevelType w:val="multilevel"/>
    <w:tmpl w:val="05307A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6E423690"/>
    <w:multiLevelType w:val="multilevel"/>
    <w:tmpl w:val="E190D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531317C"/>
    <w:multiLevelType w:val="multilevel"/>
    <w:tmpl w:val="1B086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000000"/>
        <w:sz w:val="22"/>
      </w:rPr>
    </w:lvl>
  </w:abstractNum>
  <w:abstractNum w:abstractNumId="25" w15:restartNumberingAfterBreak="0">
    <w:nsid w:val="76310FA3"/>
    <w:multiLevelType w:val="multilevel"/>
    <w:tmpl w:val="002AC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7850C73"/>
    <w:multiLevelType w:val="multilevel"/>
    <w:tmpl w:val="AE94D7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A6537C8"/>
    <w:multiLevelType w:val="multilevel"/>
    <w:tmpl w:val="8B4A273C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ECE777F"/>
    <w:multiLevelType w:val="multilevel"/>
    <w:tmpl w:val="4AA2C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2885222">
    <w:abstractNumId w:val="16"/>
  </w:num>
  <w:num w:numId="2" w16cid:durableId="130288779">
    <w:abstractNumId w:val="26"/>
  </w:num>
  <w:num w:numId="3" w16cid:durableId="949821996">
    <w:abstractNumId w:val="8"/>
  </w:num>
  <w:num w:numId="4" w16cid:durableId="1279221946">
    <w:abstractNumId w:val="0"/>
  </w:num>
  <w:num w:numId="5" w16cid:durableId="689062869">
    <w:abstractNumId w:val="1"/>
  </w:num>
  <w:num w:numId="6" w16cid:durableId="109907804">
    <w:abstractNumId w:val="27"/>
  </w:num>
  <w:num w:numId="7" w16cid:durableId="1118182504">
    <w:abstractNumId w:val="23"/>
  </w:num>
  <w:num w:numId="8" w16cid:durableId="435565022">
    <w:abstractNumId w:val="2"/>
  </w:num>
  <w:num w:numId="9" w16cid:durableId="20806687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844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024104">
    <w:abstractNumId w:val="5"/>
  </w:num>
  <w:num w:numId="12" w16cid:durableId="1736588923">
    <w:abstractNumId w:val="22"/>
  </w:num>
  <w:num w:numId="13" w16cid:durableId="475338861">
    <w:abstractNumId w:val="14"/>
  </w:num>
  <w:num w:numId="14" w16cid:durableId="2063629643">
    <w:abstractNumId w:val="15"/>
  </w:num>
  <w:num w:numId="15" w16cid:durableId="17976445">
    <w:abstractNumId w:val="6"/>
  </w:num>
  <w:num w:numId="16" w16cid:durableId="1567565068">
    <w:abstractNumId w:val="11"/>
  </w:num>
  <w:num w:numId="17" w16cid:durableId="1099519203">
    <w:abstractNumId w:val="3"/>
  </w:num>
  <w:num w:numId="18" w16cid:durableId="444540540">
    <w:abstractNumId w:val="25"/>
  </w:num>
  <w:num w:numId="19" w16cid:durableId="372196836">
    <w:abstractNumId w:val="21"/>
  </w:num>
  <w:num w:numId="20" w16cid:durableId="2138329420">
    <w:abstractNumId w:val="20"/>
  </w:num>
  <w:num w:numId="21" w16cid:durableId="437914165">
    <w:abstractNumId w:val="17"/>
  </w:num>
  <w:num w:numId="22" w16cid:durableId="29689327">
    <w:abstractNumId w:val="28"/>
  </w:num>
  <w:num w:numId="23" w16cid:durableId="1169324667">
    <w:abstractNumId w:val="18"/>
  </w:num>
  <w:num w:numId="24" w16cid:durableId="391776278">
    <w:abstractNumId w:val="10"/>
  </w:num>
  <w:num w:numId="25" w16cid:durableId="799345643">
    <w:abstractNumId w:val="13"/>
  </w:num>
  <w:num w:numId="26" w16cid:durableId="1811090741">
    <w:abstractNumId w:val="19"/>
  </w:num>
  <w:num w:numId="27" w16cid:durableId="751780858">
    <w:abstractNumId w:val="9"/>
  </w:num>
  <w:num w:numId="28" w16cid:durableId="1135104153">
    <w:abstractNumId w:val="7"/>
  </w:num>
  <w:num w:numId="29" w16cid:durableId="2085293244">
    <w:abstractNumId w:val="12"/>
  </w:num>
  <w:num w:numId="30" w16cid:durableId="1242563608">
    <w:abstractNumId w:val="24"/>
  </w:num>
  <w:num w:numId="31" w16cid:durableId="1228687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73"/>
    <w:rsid w:val="003432B0"/>
    <w:rsid w:val="00363673"/>
    <w:rsid w:val="007B7257"/>
    <w:rsid w:val="00B60527"/>
    <w:rsid w:val="00F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1940"/>
  <w15:docId w15:val="{E275214B-B492-44F1-91CC-159DA431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</w:style>
  <w:style w:type="paragraph" w:styleId="1">
    <w:name w:val="heading 1"/>
    <w:basedOn w:val="a0"/>
    <w:next w:val="a0"/>
    <w:link w:val="10"/>
    <w:pPr>
      <w:keepNext/>
      <w:keepLines/>
      <w:shd w:val="clear" w:color="auto" w:fill="FFFFFF"/>
      <w:spacing w:before="340" w:after="240"/>
      <w:ind w:left="720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0"/>
    <w:link w:val="21"/>
    <w:pPr>
      <w:keepNext/>
      <w:keepLines/>
      <w:shd w:val="clear" w:color="auto" w:fill="FFFFFF"/>
      <w:spacing w:before="340" w:after="240"/>
      <w:ind w:left="1440" w:hanging="360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pPr>
      <w:keepNext/>
      <w:keepLines/>
      <w:shd w:val="clear" w:color="auto" w:fill="FFFFFF"/>
      <w:spacing w:before="340" w:after="240"/>
      <w:ind w:left="540" w:hanging="360"/>
      <w:jc w:val="left"/>
      <w:outlineLvl w:val="2"/>
    </w:pPr>
    <w:rPr>
      <w:b/>
      <w:bCs/>
      <w:color w:val="00B050"/>
      <w:sz w:val="28"/>
      <w:szCs w:val="28"/>
    </w:rPr>
  </w:style>
  <w:style w:type="paragraph" w:styleId="4">
    <w:name w:val="heading 4"/>
    <w:basedOn w:val="a0"/>
    <w:next w:val="a0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link w:val="60"/>
    <w:pPr>
      <w:keepNext/>
      <w:keepLines/>
      <w:spacing w:before="240" w:after="80"/>
      <w:outlineLvl w:val="5"/>
    </w:pPr>
    <w:rPr>
      <w:i/>
      <w:iCs/>
      <w:color w:val="66666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1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1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table" w:styleId="a4">
    <w:name w:val="Table Grid"/>
    <w:basedOn w:val="a2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2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1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7">
    <w:name w:val="Подзаголовок Знак"/>
    <w:basedOn w:val="a1"/>
    <w:link w:val="a8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Pr>
      <w:i/>
      <w:iCs/>
      <w:color w:val="404040" w:themeColor="text1" w:themeTint="BF"/>
    </w:rPr>
  </w:style>
  <w:style w:type="character" w:styleId="a9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d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1"/>
    <w:uiPriority w:val="20"/>
    <w:qFormat/>
    <w:rPr>
      <w:i/>
      <w:iCs/>
    </w:rPr>
  </w:style>
  <w:style w:type="character" w:styleId="af">
    <w:name w:val="Strong"/>
    <w:basedOn w:val="a1"/>
    <w:uiPriority w:val="22"/>
    <w:qFormat/>
    <w:rPr>
      <w:b/>
      <w:bCs/>
    </w:rPr>
  </w:style>
  <w:style w:type="character" w:styleId="af0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1"/>
    <w:uiPriority w:val="33"/>
    <w:qFormat/>
    <w:rPr>
      <w:b/>
      <w:bCs/>
      <w:i/>
      <w:iCs/>
      <w:spacing w:val="5"/>
    </w:rPr>
  </w:style>
  <w:style w:type="paragraph" w:styleId="af2">
    <w:name w:val="header"/>
    <w:basedOn w:val="a0"/>
    <w:link w:val="af3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</w:style>
  <w:style w:type="paragraph" w:styleId="af4">
    <w:name w:val="footer"/>
    <w:basedOn w:val="a0"/>
    <w:link w:val="af5"/>
    <w:uiPriority w:val="99"/>
    <w:unhideWhenUsed/>
    <w:pPr>
      <w:tabs>
        <w:tab w:val="center" w:pos="4844"/>
        <w:tab w:val="right" w:pos="9689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</w:style>
  <w:style w:type="paragraph" w:styleId="af6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0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1"/>
    <w:uiPriority w:val="99"/>
    <w:semiHidden/>
    <w:unhideWhenUsed/>
    <w:rPr>
      <w:vertAlign w:val="superscript"/>
    </w:rPr>
  </w:style>
  <w:style w:type="paragraph" w:styleId="afa">
    <w:name w:val="endnote text"/>
    <w:basedOn w:val="a0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1"/>
    <w:uiPriority w:val="99"/>
    <w:semiHidden/>
    <w:unhideWhenUsed/>
    <w:rPr>
      <w:vertAlign w:val="superscript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100"/>
    </w:pPr>
  </w:style>
  <w:style w:type="paragraph" w:styleId="24">
    <w:name w:val="toc 2"/>
    <w:basedOn w:val="a0"/>
    <w:next w:val="a0"/>
    <w:uiPriority w:val="39"/>
    <w:unhideWhenUsed/>
    <w:pPr>
      <w:spacing w:after="100"/>
      <w:ind w:left="220"/>
    </w:pPr>
  </w:style>
  <w:style w:type="paragraph" w:styleId="32">
    <w:name w:val="toc 3"/>
    <w:basedOn w:val="a0"/>
    <w:next w:val="a0"/>
    <w:uiPriority w:val="39"/>
    <w:unhideWhenUsed/>
    <w:pPr>
      <w:spacing w:after="100"/>
      <w:ind w:left="440"/>
    </w:pPr>
  </w:style>
  <w:style w:type="paragraph" w:styleId="42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2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0"/>
    <w:next w:val="a0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0"/>
    <w:next w:val="a0"/>
    <w:link w:val="a5"/>
    <w:pPr>
      <w:keepNext/>
      <w:keepLines/>
      <w:spacing w:after="60"/>
    </w:pPr>
    <w:rPr>
      <w:sz w:val="36"/>
      <w:szCs w:val="3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">
    <w:name w:val="List Number"/>
    <w:uiPriority w:val="99"/>
    <w:semiHidden/>
    <w:unhideWhenUsed/>
    <w:pPr>
      <w:numPr>
        <w:numId w:val="8"/>
      </w:numPr>
      <w:contextualSpacing/>
    </w:pPr>
  </w:style>
  <w:style w:type="paragraph" w:styleId="aff1">
    <w:name w:val="List Paragraph"/>
    <w:uiPriority w:val="34"/>
    <w:qFormat/>
    <w:pPr>
      <w:ind w:left="720"/>
      <w:contextualSpacing/>
    </w:pPr>
  </w:style>
  <w:style w:type="paragraph" w:styleId="aff2">
    <w:name w:val="No Spacing"/>
    <w:uiPriority w:val="1"/>
    <w:qFormat/>
    <w:pPr>
      <w:ind w:firstLine="0"/>
    </w:pPr>
  </w:style>
  <w:style w:type="paragraph" w:styleId="aff3">
    <w:name w:val="List Bullet"/>
    <w:link w:val="aff4"/>
    <w:uiPriority w:val="99"/>
    <w:semiHidden/>
    <w:unhideWhenUsed/>
    <w:pPr>
      <w:tabs>
        <w:tab w:val="num" w:pos="720"/>
      </w:tabs>
      <w:ind w:left="720" w:hanging="720"/>
      <w:contextualSpacing/>
    </w:pPr>
  </w:style>
  <w:style w:type="character" w:customStyle="1" w:styleId="aff4">
    <w:name w:val="Маркированный список Знак"/>
    <w:basedOn w:val="a1"/>
    <w:link w:val="aff3"/>
    <w:uiPriority w:val="99"/>
    <w:semiHidden/>
  </w:style>
  <w:style w:type="character" w:customStyle="1" w:styleId="26">
    <w:name w:val="Заголовок 2 Знак"/>
    <w:basedOn w:val="aff4"/>
    <w:uiPriority w:val="9"/>
    <w:rPr>
      <w:rFonts w:ascii="Times New Roman" w:eastAsia="Times New Roman" w:hAnsi="Times New Roman" w:cs="Times New Roman"/>
      <w:b/>
      <w:color w:val="00B050"/>
      <w:sz w:val="28"/>
      <w:szCs w:val="28"/>
      <w:shd w:val="clear" w:color="auto" w:fill="FFFFFF"/>
      <w:lang w:val="ru-RU"/>
    </w:rPr>
  </w:style>
  <w:style w:type="numbering" w:customStyle="1" w:styleId="14">
    <w:name w:val="Текущий список1"/>
    <w:uiPriority w:val="99"/>
  </w:style>
  <w:style w:type="paragraph" w:styleId="aff5">
    <w:name w:val="Normal (Web)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  <w:style w:type="paragraph" w:styleId="a8">
    <w:name w:val="Subtitle"/>
    <w:basedOn w:val="a0"/>
    <w:next w:val="a0"/>
    <w:link w:val="a7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aff6">
    <w:name w:val="Balloon Text"/>
    <w:basedOn w:val="a0"/>
    <w:link w:val="aff7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1"/>
    <w:link w:val="aff6"/>
    <w:uiPriority w:val="99"/>
    <w:semiHidden/>
    <w:rPr>
      <w:rFonts w:ascii="Segoe UI" w:hAnsi="Segoe UI" w:cs="Segoe UI"/>
      <w:sz w:val="18"/>
      <w:szCs w:val="18"/>
    </w:rPr>
  </w:style>
  <w:style w:type="paragraph" w:styleId="aff8">
    <w:name w:val="Revision"/>
    <w:hidden/>
    <w:uiPriority w:val="99"/>
    <w:semiHidden/>
    <w:pPr>
      <w:spacing w:line="240" w:lineRule="auto"/>
      <w:ind w:firstLine="0"/>
      <w:jc w:val="left"/>
    </w:pPr>
  </w:style>
  <w:style w:type="character" w:styleId="aff9">
    <w:name w:val="annotation reference"/>
    <w:basedOn w:val="a1"/>
    <w:unhideWhenUsed/>
    <w:qFormat/>
    <w:rPr>
      <w:sz w:val="16"/>
      <w:szCs w:val="16"/>
    </w:rPr>
  </w:style>
  <w:style w:type="paragraph" w:styleId="affa">
    <w:name w:val="annotation text"/>
    <w:basedOn w:val="a0"/>
    <w:link w:val="af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semiHidden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LLtxymQSVrTNS5+HGdK4tGSjDg==">CgMxLjAyDmguNWN5aGh6dnY3N3MyMg5oLmg2Y29zaGlpdjV3czIOaC5tYzQwNWlzYTU3OGUyDmguc2JuaDR1YmY4cDJsMg5oLnBqYzU4YXpkY3N6NTIOaC5yNmtxdmgzMGhma2wyDmgudzh3ZW4xaTFpYzFpMg5oLjR0OWVlc2hhNWpuOTINaC5oZnY5ZmRoMnV2czIOaC56MHEyNXBjeWcwMzEyDmgueWU0OHQwcTA4NTF6Mg5oLnhqMHg0dzJjazZ6ODgAciExWE9EOVhOYTN3Z3NVNlJfb3dNZnIwWXJfTVVGeXJib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Peretinskii</dc:creator>
  <cp:lastModifiedBy>Pavel Peretinskii</cp:lastModifiedBy>
  <cp:revision>5</cp:revision>
  <dcterms:created xsi:type="dcterms:W3CDTF">2026-03-25T11:18:00Z</dcterms:created>
  <dcterms:modified xsi:type="dcterms:W3CDTF">2026-04-20T15:06:00Z</dcterms:modified>
</cp:coreProperties>
</file>